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63F22">
      <w:pPr>
        <w:rPr>
          <w:rFonts w:hint="eastAsia" w:eastAsiaTheme="minorEastAsia"/>
          <w:lang w:eastAsia="zh-CN"/>
        </w:rPr>
      </w:pPr>
    </w:p>
    <w:p w14:paraId="2C5E94FA"/>
    <w:p w14:paraId="28FF7386"/>
    <w:p w14:paraId="24C949BF">
      <w:pPr>
        <w:jc w:val="center"/>
        <w:rPr>
          <w:rFonts w:ascii="黑体" w:hAnsi="黑体" w:eastAsia="黑体"/>
          <w:b/>
          <w:sz w:val="84"/>
          <w:szCs w:val="84"/>
        </w:rPr>
      </w:pPr>
      <w:r>
        <w:rPr>
          <w:rFonts w:hint="eastAsia" w:ascii="黑体" w:hAnsi="黑体" w:eastAsia="黑体"/>
          <w:b/>
          <w:sz w:val="84"/>
          <w:szCs w:val="84"/>
        </w:rPr>
        <w:t>竞争性磋商文件</w:t>
      </w:r>
    </w:p>
    <w:p w14:paraId="1CB8C8EB">
      <w:pPr>
        <w:spacing w:line="480" w:lineRule="auto"/>
        <w:ind w:firstLine="2249"/>
        <w:jc w:val="left"/>
        <w:rPr>
          <w:rFonts w:ascii="Arial" w:hAnsi="Arial" w:eastAsia="宋体" w:cs="Times New Roman"/>
          <w:b/>
          <w:bCs/>
          <w:color w:val="000000"/>
          <w:sz w:val="32"/>
          <w:szCs w:val="24"/>
        </w:rPr>
      </w:pPr>
    </w:p>
    <w:p w14:paraId="390AD201">
      <w:pPr>
        <w:spacing w:line="480" w:lineRule="auto"/>
        <w:jc w:val="left"/>
        <w:rPr>
          <w:rFonts w:ascii="Arial" w:hAnsi="Arial" w:eastAsia="宋体" w:cs="Times New Roman"/>
          <w:b/>
          <w:bCs/>
          <w:color w:val="000000"/>
          <w:sz w:val="32"/>
          <w:szCs w:val="24"/>
        </w:rPr>
      </w:pPr>
    </w:p>
    <w:p w14:paraId="77BB8EF4">
      <w:pPr>
        <w:spacing w:line="480" w:lineRule="auto"/>
        <w:ind w:firstLine="2249"/>
        <w:jc w:val="left"/>
        <w:rPr>
          <w:rFonts w:ascii="Arial" w:hAnsi="Arial" w:eastAsia="宋体" w:cs="Times New Roman"/>
          <w:b/>
          <w:bCs/>
          <w:color w:val="000000"/>
          <w:sz w:val="32"/>
          <w:szCs w:val="24"/>
        </w:rPr>
      </w:pPr>
    </w:p>
    <w:p w14:paraId="23F0F5CE">
      <w:pPr>
        <w:spacing w:line="480" w:lineRule="auto"/>
        <w:ind w:firstLine="2249"/>
        <w:jc w:val="left"/>
        <w:rPr>
          <w:rFonts w:ascii="Arial" w:hAnsi="Arial" w:eastAsia="宋体" w:cs="Times New Roman"/>
          <w:b/>
          <w:bCs/>
          <w:color w:val="000000"/>
          <w:sz w:val="32"/>
          <w:szCs w:val="24"/>
        </w:rPr>
      </w:pPr>
    </w:p>
    <w:p w14:paraId="7EB8FD81">
      <w:pPr>
        <w:spacing w:line="480" w:lineRule="auto"/>
        <w:ind w:left="2883" w:hanging="1606"/>
        <w:rPr>
          <w:rFonts w:hint="eastAsia" w:ascii="Arial" w:hAnsi="Arial" w:eastAsia="宋体" w:cs="Times New Roman"/>
          <w:b/>
          <w:bCs/>
          <w:color w:val="000000"/>
          <w:sz w:val="32"/>
          <w:szCs w:val="24"/>
          <w:lang w:eastAsia="zh-CN"/>
        </w:rPr>
      </w:pPr>
      <w:r>
        <w:rPr>
          <w:rFonts w:hint="eastAsia" w:ascii="Arial" w:hAnsi="Arial" w:eastAsia="宋体" w:cs="Times New Roman"/>
          <w:b/>
          <w:bCs/>
          <w:color w:val="000000"/>
          <w:sz w:val="32"/>
          <w:szCs w:val="24"/>
        </w:rPr>
        <w:t>项目名称：</w:t>
      </w:r>
      <w:r>
        <w:rPr>
          <w:rFonts w:hint="eastAsia" w:ascii="Arial" w:hAnsi="Arial" w:eastAsia="宋体" w:cs="Times New Roman"/>
          <w:b/>
          <w:bCs/>
          <w:color w:val="000000"/>
          <w:sz w:val="32"/>
          <w:szCs w:val="24"/>
          <w:lang w:eastAsia="zh-CN"/>
        </w:rPr>
        <w:t>连云港市油气管道保护智能化系统运维项目</w:t>
      </w:r>
    </w:p>
    <w:p w14:paraId="7DD712FD">
      <w:pPr>
        <w:spacing w:line="480" w:lineRule="auto"/>
        <w:ind w:firstLine="1285"/>
        <w:rPr>
          <w:rFonts w:hint="eastAsia" w:ascii="Arial" w:hAnsi="Arial" w:eastAsia="宋体" w:cs="Times New Roman"/>
          <w:b/>
          <w:bCs/>
          <w:color w:val="000000" w:themeColor="text1"/>
          <w:sz w:val="32"/>
          <w:szCs w:val="24"/>
          <w:lang w:eastAsia="zh-CN"/>
          <w14:textFill>
            <w14:solidFill>
              <w14:schemeClr w14:val="tx1"/>
            </w14:solidFill>
          </w14:textFill>
        </w:rPr>
      </w:pPr>
      <w:r>
        <w:rPr>
          <w:rFonts w:hint="eastAsia" w:ascii="Arial" w:hAnsi="Arial" w:eastAsia="宋体" w:cs="Times New Roman"/>
          <w:b/>
          <w:bCs/>
          <w:sz w:val="32"/>
          <w:szCs w:val="24"/>
        </w:rPr>
        <w:t>项目编号：</w:t>
      </w:r>
      <w:r>
        <w:rPr>
          <w:rFonts w:hint="eastAsia" w:ascii="Arial" w:hAnsi="Arial" w:eastAsia="宋体" w:cs="Times New Roman"/>
          <w:b/>
          <w:bCs/>
          <w:sz w:val="32"/>
          <w:szCs w:val="24"/>
          <w:lang w:eastAsia="zh-CN"/>
        </w:rPr>
        <w:t>LYGSFGW  20251101001</w:t>
      </w:r>
    </w:p>
    <w:p w14:paraId="445CB071">
      <w:pPr>
        <w:spacing w:line="480" w:lineRule="auto"/>
        <w:jc w:val="center"/>
        <w:rPr>
          <w:rFonts w:ascii="黑体" w:hAnsi="Arial" w:eastAsia="黑体" w:cs="Times New Roman"/>
          <w:b/>
          <w:color w:val="000000"/>
          <w:sz w:val="44"/>
          <w:szCs w:val="21"/>
        </w:rPr>
      </w:pPr>
    </w:p>
    <w:p w14:paraId="5DC1CE8E">
      <w:pPr>
        <w:spacing w:line="480" w:lineRule="auto"/>
        <w:jc w:val="left"/>
        <w:rPr>
          <w:rFonts w:ascii="黑体" w:hAnsi="Arial" w:eastAsia="黑体" w:cs="Times New Roman"/>
          <w:b/>
          <w:color w:val="000000"/>
          <w:sz w:val="44"/>
          <w:szCs w:val="21"/>
        </w:rPr>
      </w:pPr>
    </w:p>
    <w:p w14:paraId="1D7AC91E">
      <w:pPr>
        <w:spacing w:line="480" w:lineRule="auto"/>
        <w:jc w:val="left"/>
        <w:rPr>
          <w:rFonts w:ascii="黑体" w:hAnsi="Arial" w:eastAsia="黑体" w:cs="Times New Roman"/>
          <w:b/>
          <w:color w:val="000000"/>
          <w:sz w:val="44"/>
          <w:szCs w:val="21"/>
        </w:rPr>
      </w:pPr>
    </w:p>
    <w:p w14:paraId="5E0AE844">
      <w:pPr>
        <w:ind w:firstLine="1221"/>
        <w:rPr>
          <w:rFonts w:hint="eastAsia" w:ascii="宋体" w:hAnsi="宋体" w:eastAsiaTheme="minorEastAsia"/>
          <w:b/>
          <w:bCs/>
          <w:color w:val="000000"/>
          <w:sz w:val="32"/>
          <w:szCs w:val="32"/>
          <w:lang w:eastAsia="zh-CN"/>
        </w:rPr>
      </w:pPr>
      <w:r>
        <w:rPr>
          <w:rFonts w:hint="eastAsia" w:ascii="宋体" w:hAnsi="宋体"/>
          <w:b/>
          <w:bCs/>
          <w:color w:val="000000"/>
          <w:sz w:val="32"/>
          <w:szCs w:val="32"/>
        </w:rPr>
        <w:t>采</w:t>
      </w:r>
      <w:r>
        <w:rPr>
          <w:rFonts w:hint="eastAsia" w:ascii="宋体" w:hAnsi="宋体"/>
          <w:b/>
          <w:bCs/>
          <w:color w:val="FF0000"/>
          <w:sz w:val="32"/>
          <w:szCs w:val="32"/>
        </w:rPr>
        <w:t xml:space="preserve">   </w:t>
      </w:r>
      <w:r>
        <w:rPr>
          <w:rFonts w:hint="eastAsia" w:ascii="宋体" w:hAnsi="宋体"/>
          <w:b/>
          <w:bCs/>
          <w:color w:val="000000"/>
          <w:sz w:val="32"/>
          <w:szCs w:val="32"/>
        </w:rPr>
        <w:t>购</w:t>
      </w:r>
      <w:r>
        <w:rPr>
          <w:rFonts w:hint="eastAsia" w:ascii="宋体" w:hAnsi="宋体"/>
          <w:b/>
          <w:bCs/>
          <w:color w:val="FF0000"/>
          <w:sz w:val="32"/>
          <w:szCs w:val="32"/>
        </w:rPr>
        <w:t xml:space="preserve">   </w:t>
      </w:r>
      <w:r>
        <w:rPr>
          <w:rFonts w:hint="eastAsia" w:ascii="宋体" w:hAnsi="宋体"/>
          <w:b/>
          <w:bCs/>
          <w:color w:val="000000"/>
          <w:sz w:val="32"/>
          <w:szCs w:val="32"/>
        </w:rPr>
        <w:t>人：</w:t>
      </w:r>
      <w:r>
        <w:rPr>
          <w:rFonts w:hint="eastAsia" w:ascii="宋体" w:hAnsi="宋体" w:eastAsia="宋体"/>
          <w:b/>
          <w:bCs/>
          <w:color w:val="000000"/>
          <w:sz w:val="32"/>
          <w:szCs w:val="32"/>
          <w:lang w:eastAsia="zh-CN"/>
        </w:rPr>
        <w:t>连云港市发展和改革委员会</w:t>
      </w:r>
    </w:p>
    <w:p w14:paraId="07FA84A6">
      <w:pPr>
        <w:spacing w:before="120" w:after="120" w:line="360" w:lineRule="auto"/>
        <w:ind w:firstLine="1221"/>
        <w:rPr>
          <w:rFonts w:ascii="Arial" w:hAnsi="Arial"/>
          <w:b/>
          <w:bCs/>
          <w:color w:val="000000"/>
          <w:sz w:val="32"/>
        </w:rPr>
      </w:pPr>
      <w:r>
        <w:rPr>
          <w:rFonts w:hint="eastAsia" w:ascii="宋体" w:hAnsi="宋体"/>
          <w:b/>
          <w:color w:val="000000"/>
          <w:sz w:val="32"/>
          <w:szCs w:val="32"/>
        </w:rPr>
        <w:t>采购代理机构：</w:t>
      </w:r>
      <w:r>
        <w:rPr>
          <w:rFonts w:hint="eastAsia" w:ascii="Arial" w:hAnsi="Arial"/>
          <w:b/>
          <w:bCs/>
          <w:color w:val="000000"/>
          <w:sz w:val="32"/>
        </w:rPr>
        <w:t>江苏协鸿工程咨询有限公司</w:t>
      </w:r>
    </w:p>
    <w:p w14:paraId="18052D9A">
      <w:pPr>
        <w:widowControl/>
        <w:spacing w:before="120" w:after="120" w:line="360" w:lineRule="auto"/>
        <w:jc w:val="center"/>
        <w:rPr>
          <w:rFonts w:ascii="Arial" w:hAnsi="Arial" w:eastAsia="宋体" w:cs="Times New Roman"/>
          <w:b/>
          <w:bCs/>
          <w:color w:val="000000"/>
          <w:sz w:val="32"/>
          <w:szCs w:val="24"/>
        </w:rPr>
      </w:pPr>
      <w:r>
        <w:rPr>
          <w:rFonts w:hint="eastAsia" w:ascii="Arial" w:hAnsi="Arial" w:eastAsia="宋体" w:cs="Times New Roman"/>
          <w:b/>
          <w:bCs/>
          <w:color w:val="000000"/>
          <w:sz w:val="32"/>
          <w:szCs w:val="24"/>
        </w:rPr>
        <w:t>2025年</w:t>
      </w:r>
      <w:r>
        <w:rPr>
          <w:rFonts w:hint="eastAsia" w:ascii="Arial" w:hAnsi="Arial" w:eastAsia="宋体" w:cs="Times New Roman"/>
          <w:b/>
          <w:bCs/>
          <w:color w:val="000000"/>
          <w:sz w:val="32"/>
          <w:szCs w:val="24"/>
          <w:lang w:val="en-US" w:eastAsia="zh-CN"/>
        </w:rPr>
        <w:t>11</w:t>
      </w:r>
      <w:r>
        <w:rPr>
          <w:rFonts w:hint="eastAsia" w:ascii="Arial" w:hAnsi="Arial" w:eastAsia="宋体" w:cs="Times New Roman"/>
          <w:b/>
          <w:bCs/>
          <w:color w:val="000000"/>
          <w:sz w:val="32"/>
          <w:szCs w:val="24"/>
        </w:rPr>
        <w:t>月</w:t>
      </w:r>
      <w:r>
        <w:rPr>
          <w:rFonts w:hint="eastAsia" w:ascii="Arial" w:hAnsi="Arial" w:eastAsia="宋体" w:cs="Times New Roman"/>
          <w:b/>
          <w:bCs/>
          <w:color w:val="000000"/>
          <w:sz w:val="32"/>
          <w:szCs w:val="24"/>
        </w:rPr>
        <w:br w:type="page" w:clear="all"/>
      </w:r>
    </w:p>
    <w:p w14:paraId="452946D5">
      <w:pPr>
        <w:widowControl/>
        <w:spacing w:before="120" w:after="120" w:line="360" w:lineRule="auto"/>
        <w:jc w:val="center"/>
      </w:pPr>
      <w:r>
        <w:rPr>
          <w:rFonts w:hint="eastAsia" w:ascii="黑体" w:hAnsi="黑体" w:eastAsia="黑体" w:cs="黑体"/>
          <w:b/>
          <w:bCs/>
          <w:color w:val="000000"/>
          <w:sz w:val="36"/>
          <w:szCs w:val="28"/>
        </w:rPr>
        <w:t>目  录</w:t>
      </w:r>
      <w:r>
        <w:fldChar w:fldCharType="begin"/>
      </w:r>
      <w:r>
        <w:instrText xml:space="preserve"> TOC \o "1-1" \u </w:instrText>
      </w:r>
      <w:r>
        <w:fldChar w:fldCharType="separate"/>
      </w:r>
    </w:p>
    <w:p w14:paraId="7B1B5B6D">
      <w:pPr>
        <w:pStyle w:val="28"/>
        <w:tabs>
          <w:tab w:val="right" w:leader="dot" w:pos="9746"/>
          <w:tab w:val="clear" w:pos="8296"/>
        </w:tabs>
      </w:pPr>
      <w:r>
        <w:rPr>
          <w:rFonts w:hint="eastAsia"/>
        </w:rPr>
        <w:t>第一章  磋商邀请</w:t>
      </w:r>
      <w:r>
        <w:tab/>
      </w:r>
      <w:r>
        <w:fldChar w:fldCharType="begin"/>
      </w:r>
      <w:r>
        <w:instrText xml:space="preserve"> PAGEREF _Toc16090 \h </w:instrText>
      </w:r>
      <w:r>
        <w:fldChar w:fldCharType="separate"/>
      </w:r>
      <w:r>
        <w:t>3</w:t>
      </w:r>
      <w:r>
        <w:fldChar w:fldCharType="end"/>
      </w:r>
    </w:p>
    <w:p w14:paraId="4A242C6D">
      <w:pPr>
        <w:pStyle w:val="28"/>
        <w:tabs>
          <w:tab w:val="right" w:leader="dot" w:pos="9746"/>
          <w:tab w:val="clear" w:pos="8296"/>
        </w:tabs>
      </w:pPr>
      <w:r>
        <w:rPr>
          <w:rFonts w:hint="eastAsia"/>
        </w:rPr>
        <w:t>第二章  供应商须知</w:t>
      </w:r>
      <w:r>
        <w:tab/>
      </w:r>
      <w:r>
        <w:fldChar w:fldCharType="begin"/>
      </w:r>
      <w:r>
        <w:instrText xml:space="preserve"> PAGEREF _Toc27698 \h </w:instrText>
      </w:r>
      <w:r>
        <w:fldChar w:fldCharType="separate"/>
      </w:r>
      <w:r>
        <w:t>7</w:t>
      </w:r>
      <w:r>
        <w:fldChar w:fldCharType="end"/>
      </w:r>
    </w:p>
    <w:p w14:paraId="5C4FF677">
      <w:pPr>
        <w:pStyle w:val="28"/>
        <w:tabs>
          <w:tab w:val="right" w:leader="dot" w:pos="9746"/>
          <w:tab w:val="clear" w:pos="8296"/>
        </w:tabs>
      </w:pPr>
      <w:r>
        <w:rPr>
          <w:rFonts w:hint="eastAsia"/>
        </w:rPr>
        <w:t>第三章  合同文本</w:t>
      </w:r>
      <w:r>
        <w:tab/>
      </w:r>
      <w:r>
        <w:fldChar w:fldCharType="begin"/>
      </w:r>
      <w:r>
        <w:instrText xml:space="preserve"> PAGEREF _Toc25859 \h </w:instrText>
      </w:r>
      <w:r>
        <w:fldChar w:fldCharType="separate"/>
      </w:r>
      <w:r>
        <w:t>22</w:t>
      </w:r>
      <w:r>
        <w:fldChar w:fldCharType="end"/>
      </w:r>
    </w:p>
    <w:p w14:paraId="17D6856C">
      <w:pPr>
        <w:pStyle w:val="28"/>
        <w:tabs>
          <w:tab w:val="right" w:leader="dot" w:pos="9746"/>
          <w:tab w:val="clear" w:pos="8296"/>
        </w:tabs>
      </w:pPr>
      <w:r>
        <w:rPr>
          <w:rFonts w:hint="eastAsia"/>
          <w:szCs w:val="44"/>
        </w:rPr>
        <w:t>第四章</w:t>
      </w:r>
      <w:r>
        <w:rPr>
          <w:rFonts w:hint="eastAsia"/>
        </w:rPr>
        <w:t xml:space="preserve">  </w:t>
      </w:r>
      <w:r>
        <w:rPr>
          <w:rFonts w:hint="eastAsia" w:cs="Times New Roman"/>
          <w:szCs w:val="44"/>
        </w:rPr>
        <w:t>项目需求</w:t>
      </w:r>
      <w:r>
        <w:tab/>
      </w:r>
      <w:r>
        <w:fldChar w:fldCharType="begin"/>
      </w:r>
      <w:r>
        <w:instrText xml:space="preserve"> PAGEREF _Toc3829 \h </w:instrText>
      </w:r>
      <w:r>
        <w:fldChar w:fldCharType="separate"/>
      </w:r>
      <w:r>
        <w:t>27</w:t>
      </w:r>
      <w:r>
        <w:fldChar w:fldCharType="end"/>
      </w:r>
    </w:p>
    <w:p w14:paraId="12E49B7B">
      <w:pPr>
        <w:pStyle w:val="28"/>
        <w:tabs>
          <w:tab w:val="right" w:leader="dot" w:pos="9746"/>
          <w:tab w:val="clear" w:pos="8296"/>
        </w:tabs>
      </w:pPr>
      <w:r>
        <w:rPr>
          <w:rFonts w:hint="eastAsia" w:cs="Times New Roman"/>
          <w:szCs w:val="44"/>
        </w:rPr>
        <w:t>第五章  评审方法和评审标准</w:t>
      </w:r>
      <w:r>
        <w:tab/>
      </w:r>
      <w:r>
        <w:t>30</w:t>
      </w:r>
    </w:p>
    <w:p w14:paraId="5C9B700C">
      <w:pPr>
        <w:pStyle w:val="28"/>
        <w:tabs>
          <w:tab w:val="right" w:leader="dot" w:pos="9746"/>
          <w:tab w:val="clear" w:pos="8296"/>
        </w:tabs>
      </w:pPr>
      <w:r>
        <w:rPr>
          <w:rFonts w:hint="eastAsia"/>
        </w:rPr>
        <w:t>第六章  响应文件格式</w:t>
      </w:r>
      <w:r>
        <w:tab/>
      </w:r>
      <w:r>
        <w:fldChar w:fldCharType="begin"/>
      </w:r>
      <w:r>
        <w:instrText xml:space="preserve"> PAGEREF _Toc8976 \h </w:instrText>
      </w:r>
      <w:r>
        <w:fldChar w:fldCharType="separate"/>
      </w:r>
      <w:r>
        <w:t>34</w:t>
      </w:r>
      <w:r>
        <w:fldChar w:fldCharType="end"/>
      </w:r>
    </w:p>
    <w:p w14:paraId="024A907F">
      <w:pPr>
        <w:widowControl/>
        <w:spacing w:before="120" w:after="120" w:line="360" w:lineRule="auto"/>
        <w:jc w:val="center"/>
      </w:pPr>
      <w:r>
        <w:fldChar w:fldCharType="end"/>
      </w:r>
      <w:r>
        <w:rPr/>
        <w:br w:type="page" w:clear="all"/>
      </w:r>
    </w:p>
    <w:p w14:paraId="64F29390">
      <w:pPr>
        <w:pStyle w:val="2"/>
        <w:spacing w:before="156" w:after="156" w:line="360" w:lineRule="auto"/>
        <w:jc w:val="center"/>
        <w:rPr>
          <w:rFonts w:ascii="黑体" w:hAnsi="黑体" w:eastAsia="黑体"/>
          <w:b w:val="0"/>
        </w:rPr>
        <w:sectPr>
          <w:footerReference r:id="rId3" w:type="default"/>
          <w:pgSz w:w="11906" w:h="16838"/>
          <w:pgMar w:top="1440" w:right="1080" w:bottom="1440" w:left="1080" w:header="851" w:footer="992" w:gutter="0"/>
          <w:pgNumType w:start="1"/>
          <w:cols w:space="425" w:num="1"/>
          <w:docGrid w:linePitch="360" w:charSpace="0"/>
        </w:sectPr>
      </w:pPr>
    </w:p>
    <w:p w14:paraId="6AABE9F5">
      <w:pPr>
        <w:pStyle w:val="2"/>
        <w:spacing w:before="156" w:after="156" w:line="360" w:lineRule="auto"/>
        <w:jc w:val="center"/>
        <w:rPr>
          <w:rFonts w:ascii="黑体" w:hAnsi="黑体" w:eastAsia="黑体"/>
          <w:b w:val="0"/>
        </w:rPr>
      </w:pPr>
      <w:bookmarkStart w:id="0" w:name="_Toc5112"/>
      <w:bookmarkStart w:id="1" w:name="_Toc16090"/>
      <w:r>
        <w:rPr>
          <w:rFonts w:hint="eastAsia" w:ascii="黑体" w:hAnsi="黑体" w:eastAsia="黑体"/>
          <w:b w:val="0"/>
        </w:rPr>
        <w:t>第一章  磋商邀请</w:t>
      </w:r>
      <w:bookmarkEnd w:id="0"/>
      <w:bookmarkEnd w:id="1"/>
    </w:p>
    <w:p w14:paraId="3BA617F9">
      <w:pPr>
        <w:spacing w:line="520" w:lineRule="exact"/>
        <w:ind w:firstLine="480"/>
        <w:jc w:val="left"/>
        <w:rPr>
          <w:rFonts w:ascii="宋体" w:hAnsi="宋体" w:eastAsia="宋体" w:cs="宋体"/>
          <w:sz w:val="24"/>
          <w:szCs w:val="24"/>
        </w:rPr>
      </w:pPr>
      <w:r>
        <w:rPr>
          <w:rFonts w:hint="eastAsia" w:ascii="宋体" w:hAnsi="宋体" w:eastAsia="宋体" w:cs="宋体"/>
          <w:sz w:val="24"/>
          <w:szCs w:val="24"/>
        </w:rPr>
        <w:t>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连云港市发展和改革委员会</w:t>
      </w:r>
      <w:r>
        <w:rPr>
          <w:rFonts w:hint="eastAsia" w:ascii="宋体" w:hAnsi="宋体" w:eastAsia="宋体" w:cs="宋体"/>
          <w:sz w:val="24"/>
          <w:szCs w:val="24"/>
          <w:u w:val="single"/>
        </w:rPr>
        <w:t xml:space="preserve"> </w:t>
      </w:r>
      <w:r>
        <w:rPr>
          <w:rFonts w:hint="eastAsia" w:ascii="宋体" w:hAnsi="宋体" w:eastAsia="宋体" w:cs="宋体"/>
          <w:sz w:val="24"/>
          <w:szCs w:val="24"/>
        </w:rPr>
        <w:t>的委托，江苏协鸿工程咨询有限公司就</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连云港市油气管道保护智能化系统运维项目</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lang w:eastAsia="zh-CN"/>
        </w:rPr>
        <w:t>LYGSFGW  20251101001</w:t>
      </w:r>
      <w:r>
        <w:rPr>
          <w:rFonts w:hint="eastAsia" w:ascii="宋体" w:hAnsi="宋体" w:eastAsia="宋体" w:cs="宋体"/>
          <w:sz w:val="24"/>
          <w:szCs w:val="24"/>
        </w:rPr>
        <w:t>）进行竞争性磋商采购，欢迎符合条件的供应商参加磋商</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0"/>
      </w:tblGrid>
      <w:tr w14:paraId="6EFA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9750" w:type="dxa"/>
          </w:tcPr>
          <w:p w14:paraId="07BB9BF6">
            <w:pPr>
              <w:spacing w:line="520" w:lineRule="exact"/>
              <w:jc w:val="left"/>
              <w:rPr>
                <w:rFonts w:ascii="宋体" w:hAnsi="宋体" w:eastAsia="宋体" w:cs="宋体"/>
                <w:sz w:val="24"/>
                <w:szCs w:val="24"/>
              </w:rPr>
            </w:pPr>
            <w:r>
              <w:rPr>
                <w:rFonts w:hint="eastAsia" w:ascii="宋体" w:hAnsi="宋体" w:eastAsia="宋体" w:cs="宋体"/>
                <w:sz w:val="24"/>
                <w:szCs w:val="24"/>
              </w:rPr>
              <w:t>项目概况</w:t>
            </w:r>
          </w:p>
          <w:p w14:paraId="61244732">
            <w:pPr>
              <w:spacing w:line="520" w:lineRule="exact"/>
              <w:ind w:firstLine="480"/>
              <w:jc w:val="left"/>
              <w:rPr>
                <w:rFonts w:ascii="宋体" w:hAnsi="宋体" w:eastAsia="宋体" w:cs="宋体"/>
                <w:sz w:val="24"/>
                <w:szCs w:val="24"/>
              </w:rPr>
            </w:pPr>
            <w:r>
              <w:rPr>
                <w:rFonts w:hint="eastAsia" w:ascii="宋体" w:hAnsi="宋体" w:eastAsia="宋体" w:cs="宋体"/>
                <w:sz w:val="24"/>
                <w:szCs w:val="24"/>
                <w:u w:val="single"/>
                <w:lang w:eastAsia="zh-CN"/>
              </w:rPr>
              <w:t>连云港市油气管道保护智能化系统运维项目</w:t>
            </w:r>
            <w:r>
              <w:rPr>
                <w:rFonts w:hint="eastAsia" w:ascii="宋体" w:hAnsi="宋体" w:cs="宋体"/>
                <w:sz w:val="24"/>
                <w:szCs w:val="28"/>
              </w:rPr>
              <w:t>采购项目的潜在供应商应在</w:t>
            </w:r>
            <w:r>
              <w:rPr>
                <w:rFonts w:hint="eastAsia" w:ascii="宋体" w:hAnsi="宋体" w:cs="宋体"/>
                <w:sz w:val="24"/>
                <w:szCs w:val="28"/>
                <w:u w:val="single"/>
              </w:rPr>
              <w:t xml:space="preserve"> 江苏协鸿工程咨询有限公司 </w:t>
            </w:r>
            <w:r>
              <w:rPr>
                <w:rFonts w:hint="eastAsia" w:ascii="宋体" w:hAnsi="宋体" w:cs="宋体"/>
                <w:sz w:val="24"/>
                <w:szCs w:val="28"/>
              </w:rPr>
              <w:t>获取采购文件，并于</w:t>
            </w:r>
            <w:r>
              <w:rPr>
                <w:rFonts w:hint="eastAsia" w:ascii="宋体" w:hAnsi="宋体" w:cs="宋体"/>
                <w:sz w:val="24"/>
                <w:szCs w:val="28"/>
                <w:u w:val="single"/>
              </w:rPr>
              <w:t>2025</w:t>
            </w:r>
            <w:r>
              <w:rPr>
                <w:rFonts w:hint="eastAsia" w:ascii="宋体" w:hAnsi="宋体" w:cs="宋体"/>
                <w:bCs/>
                <w:sz w:val="24"/>
                <w:szCs w:val="28"/>
                <w:u w:val="single"/>
              </w:rPr>
              <w:t>年</w:t>
            </w:r>
            <w:r>
              <w:rPr>
                <w:rFonts w:hint="eastAsia" w:ascii="宋体" w:hAnsi="宋体" w:cs="宋体"/>
                <w:bCs/>
                <w:sz w:val="24"/>
                <w:szCs w:val="28"/>
                <w:u w:val="single"/>
                <w:lang w:val="en-US" w:eastAsia="zh-CN"/>
              </w:rPr>
              <w:t>12</w:t>
            </w:r>
            <w:r>
              <w:rPr>
                <w:rFonts w:hint="eastAsia" w:ascii="宋体" w:hAnsi="宋体" w:cs="宋体"/>
                <w:bCs/>
                <w:sz w:val="24"/>
                <w:szCs w:val="28"/>
                <w:u w:val="single"/>
              </w:rPr>
              <w:t>月</w:t>
            </w:r>
            <w:r>
              <w:rPr>
                <w:rFonts w:hint="eastAsia" w:ascii="宋体" w:hAnsi="宋体" w:cs="宋体"/>
                <w:bCs/>
                <w:sz w:val="24"/>
                <w:szCs w:val="28"/>
                <w:u w:val="single"/>
                <w:lang w:val="en-US" w:eastAsia="zh-CN"/>
              </w:rPr>
              <w:t>1</w:t>
            </w:r>
            <w:r>
              <w:rPr>
                <w:rFonts w:hint="eastAsia" w:ascii="宋体" w:hAnsi="宋体" w:cs="宋体"/>
                <w:bCs/>
                <w:sz w:val="24"/>
                <w:szCs w:val="28"/>
                <w:u w:val="single"/>
              </w:rPr>
              <w:t>日</w:t>
            </w:r>
            <w:r>
              <w:rPr>
                <w:rFonts w:hint="eastAsia" w:ascii="宋体" w:hAnsi="宋体" w:cs="宋体"/>
                <w:bCs/>
                <w:sz w:val="24"/>
                <w:szCs w:val="28"/>
                <w:u w:val="single"/>
                <w:lang w:val="en-US" w:eastAsia="zh-CN"/>
              </w:rPr>
              <w:t>9</w:t>
            </w:r>
            <w:r>
              <w:rPr>
                <w:rFonts w:hint="eastAsia" w:ascii="宋体" w:hAnsi="宋体" w:cs="宋体"/>
                <w:bCs/>
                <w:sz w:val="24"/>
                <w:szCs w:val="28"/>
                <w:u w:val="single"/>
              </w:rPr>
              <w:t>点00分00秒</w:t>
            </w:r>
            <w:r>
              <w:rPr>
                <w:rFonts w:hint="eastAsia" w:ascii="宋体" w:hAnsi="宋体" w:cs="宋体"/>
                <w:bCs/>
                <w:sz w:val="24"/>
                <w:szCs w:val="28"/>
              </w:rPr>
              <w:t>（北京时间）前</w:t>
            </w:r>
            <w:r>
              <w:rPr>
                <w:rFonts w:hint="eastAsia" w:ascii="宋体" w:hAnsi="宋体"/>
                <w:b/>
                <w:color w:val="FF0000"/>
                <w:sz w:val="24"/>
                <w:szCs w:val="24"/>
              </w:rPr>
              <w:t>递交一正二副书面响应文件</w:t>
            </w:r>
            <w:r>
              <w:rPr>
                <w:rFonts w:hint="eastAsia" w:ascii="宋体" w:hAnsi="宋体"/>
                <w:b/>
                <w:color w:val="FF0000"/>
                <w:sz w:val="24"/>
                <w:szCs w:val="28"/>
              </w:rPr>
              <w:t>并完成签到同时提供(电子扫描件U盘一份)</w:t>
            </w:r>
            <w:r>
              <w:rPr>
                <w:rFonts w:hint="eastAsia" w:ascii="宋体" w:hAnsi="宋体"/>
                <w:b/>
                <w:color w:val="FF0000"/>
                <w:sz w:val="24"/>
                <w:szCs w:val="24"/>
              </w:rPr>
              <w:t>。</w:t>
            </w:r>
          </w:p>
        </w:tc>
      </w:tr>
    </w:tbl>
    <w:p w14:paraId="5797F619">
      <w:pPr>
        <w:pStyle w:val="3"/>
        <w:spacing w:before="0" w:after="0" w:line="360" w:lineRule="auto"/>
        <w:rPr>
          <w:rFonts w:ascii="黑体" w:hAnsi="黑体" w:eastAsia="黑体"/>
          <w:b w:val="0"/>
        </w:rPr>
      </w:pPr>
      <w:r>
        <w:rPr>
          <w:rFonts w:hint="eastAsia" w:ascii="黑体" w:hAnsi="黑体" w:eastAsia="黑体"/>
          <w:b w:val="0"/>
        </w:rPr>
        <w:t>一、项目基本情况</w:t>
      </w:r>
    </w:p>
    <w:p w14:paraId="6AAA4FC6">
      <w:pPr>
        <w:spacing w:line="500" w:lineRule="exact"/>
        <w:ind w:firstLine="480"/>
        <w:jc w:val="left"/>
        <w:rPr>
          <w:sz w:val="24"/>
          <w:szCs w:val="24"/>
        </w:rPr>
      </w:pPr>
      <w:r>
        <w:rPr>
          <w:rFonts w:hint="eastAsia"/>
          <w:sz w:val="24"/>
          <w:szCs w:val="24"/>
        </w:rPr>
        <w:t>项目编号：</w:t>
      </w:r>
      <w:r>
        <w:rPr>
          <w:rFonts w:hint="eastAsia"/>
          <w:sz w:val="24"/>
          <w:szCs w:val="24"/>
          <w:lang w:eastAsia="zh-CN"/>
        </w:rPr>
        <w:t>LYGSFGW  20251101001</w:t>
      </w:r>
      <w:r>
        <w:rPr>
          <w:rFonts w:hint="eastAsia"/>
          <w:sz w:val="24"/>
          <w:szCs w:val="24"/>
        </w:rPr>
        <w:t xml:space="preserve"> </w:t>
      </w:r>
    </w:p>
    <w:p w14:paraId="23A1BED8">
      <w:pPr>
        <w:spacing w:line="500" w:lineRule="exact"/>
        <w:ind w:firstLine="480"/>
        <w:jc w:val="left"/>
        <w:rPr>
          <w:rFonts w:hint="eastAsia" w:eastAsiaTheme="minorEastAsia"/>
          <w:sz w:val="24"/>
          <w:szCs w:val="24"/>
          <w:lang w:eastAsia="zh-CN"/>
        </w:rPr>
      </w:pPr>
      <w:r>
        <w:rPr>
          <w:rFonts w:hint="eastAsia"/>
          <w:sz w:val="24"/>
          <w:szCs w:val="24"/>
        </w:rPr>
        <w:t>项目名称：</w:t>
      </w:r>
      <w:r>
        <w:rPr>
          <w:rFonts w:hint="eastAsia" w:ascii="宋体" w:hAnsi="宋体" w:eastAsia="宋体" w:cs="宋体"/>
          <w:sz w:val="24"/>
          <w:szCs w:val="24"/>
          <w:lang w:eastAsia="zh-CN"/>
        </w:rPr>
        <w:t>连云港市油气管道保护智能化系统运维项目</w:t>
      </w:r>
    </w:p>
    <w:p w14:paraId="04A83CCD">
      <w:pPr>
        <w:spacing w:line="500" w:lineRule="exact"/>
        <w:ind w:firstLine="480"/>
        <w:jc w:val="left"/>
        <w:rPr>
          <w:sz w:val="24"/>
          <w:szCs w:val="24"/>
        </w:rPr>
      </w:pPr>
      <w:r>
        <w:rPr>
          <w:rFonts w:hint="eastAsia"/>
          <w:sz w:val="24"/>
          <w:szCs w:val="24"/>
        </w:rPr>
        <w:t>预算金额</w:t>
      </w:r>
      <w:r>
        <w:rPr>
          <w:rFonts w:hint="eastAsia" w:ascii="宋体" w:hAnsi="宋体" w:cs="Times New Roman"/>
          <w:sz w:val="24"/>
          <w:szCs w:val="28"/>
        </w:rPr>
        <w:t>：</w:t>
      </w:r>
      <w:r>
        <w:rPr>
          <w:rFonts w:hint="eastAsia" w:ascii="宋体" w:hAnsi="宋体" w:eastAsia="宋体" w:cs="Times New Roman"/>
          <w:sz w:val="24"/>
          <w:szCs w:val="28"/>
          <w:lang w:val="en-US" w:eastAsia="zh-CN"/>
        </w:rPr>
        <w:t>20</w:t>
      </w:r>
      <w:r>
        <w:rPr>
          <w:rFonts w:hint="eastAsia" w:ascii="宋体" w:hAnsi="宋体" w:cs="Times New Roman"/>
          <w:sz w:val="24"/>
          <w:szCs w:val="28"/>
        </w:rPr>
        <w:t>万元，报价超出预算金额的按无效响应处理。</w:t>
      </w:r>
    </w:p>
    <w:p w14:paraId="07BC6F05">
      <w:pPr>
        <w:spacing w:line="500" w:lineRule="exact"/>
        <w:ind w:firstLine="480"/>
        <w:jc w:val="left"/>
        <w:rPr>
          <w:sz w:val="24"/>
          <w:szCs w:val="24"/>
        </w:rPr>
      </w:pPr>
      <w:r>
        <w:rPr>
          <w:rFonts w:hint="eastAsia"/>
          <w:sz w:val="24"/>
          <w:szCs w:val="24"/>
        </w:rPr>
        <w:t>采购方式：竞争性磋商</w:t>
      </w:r>
    </w:p>
    <w:p w14:paraId="55883FDC">
      <w:pPr>
        <w:spacing w:line="560" w:lineRule="exact"/>
        <w:ind w:firstLine="480"/>
        <w:rPr>
          <w:sz w:val="24"/>
          <w:szCs w:val="24"/>
        </w:rPr>
      </w:pPr>
      <w:r>
        <w:rPr>
          <w:rFonts w:hint="eastAsia"/>
          <w:sz w:val="24"/>
          <w:szCs w:val="24"/>
        </w:rPr>
        <w:t>采购需求：</w:t>
      </w:r>
      <w:r>
        <w:rPr>
          <w:rFonts w:hint="eastAsia"/>
          <w:sz w:val="24"/>
          <w:szCs w:val="24"/>
          <w:lang w:eastAsia="zh-CN"/>
        </w:rPr>
        <w:t>包括连云港市发改委油气管道保护智能化系统的日常运维以及90路高清视频监控（其中高塔挂载视频20路）的接电、电费、光纤传输费用、高塔挂载服务费用、维修维护服务等。具体详见</w:t>
      </w:r>
      <w:r>
        <w:rPr>
          <w:rFonts w:hint="eastAsia"/>
          <w:sz w:val="24"/>
          <w:szCs w:val="24"/>
          <w:lang w:val="en-US" w:eastAsia="zh-CN"/>
        </w:rPr>
        <w:t>磋商</w:t>
      </w:r>
      <w:r>
        <w:rPr>
          <w:rFonts w:hint="eastAsia"/>
          <w:sz w:val="24"/>
          <w:szCs w:val="24"/>
          <w:lang w:eastAsia="zh-CN"/>
        </w:rPr>
        <w:t>文件项目需求</w:t>
      </w:r>
      <w:r>
        <w:rPr>
          <w:rFonts w:hint="eastAsia" w:ascii="宋体" w:hAnsi="宋体" w:cs="Times New Roman"/>
          <w:sz w:val="24"/>
          <w:szCs w:val="28"/>
        </w:rPr>
        <w:t>。</w:t>
      </w:r>
    </w:p>
    <w:p w14:paraId="43DF351F">
      <w:pPr>
        <w:spacing w:line="500" w:lineRule="exact"/>
        <w:ind w:firstLine="482"/>
        <w:jc w:val="left"/>
        <w:rPr>
          <w:b/>
          <w:sz w:val="24"/>
          <w:szCs w:val="24"/>
        </w:rPr>
      </w:pPr>
      <w:r>
        <w:rPr>
          <w:rFonts w:hint="eastAsia"/>
          <w:b/>
          <w:sz w:val="24"/>
          <w:szCs w:val="24"/>
        </w:rPr>
        <w:t>对本项目资格要求、采购需求、评审方法与评审标准等部分的询问、质疑请与采购人联系，由采购人负责答复。</w:t>
      </w:r>
    </w:p>
    <w:p w14:paraId="13A20D27">
      <w:pPr>
        <w:spacing w:line="500" w:lineRule="exact"/>
        <w:ind w:firstLine="480"/>
        <w:jc w:val="left"/>
        <w:rPr>
          <w:rFonts w:hint="eastAsia" w:eastAsiaTheme="minorEastAsia"/>
          <w:sz w:val="24"/>
          <w:szCs w:val="24"/>
          <w:lang w:eastAsia="zh-CN"/>
        </w:rPr>
      </w:pPr>
      <w:r>
        <w:rPr>
          <w:rFonts w:hint="eastAsia"/>
          <w:sz w:val="24"/>
          <w:szCs w:val="24"/>
          <w:lang w:eastAsia="zh-CN"/>
        </w:rPr>
        <w:t>合同履行期限：期限为1年。服务期从验收合格且整体交付使用之日起计算。</w:t>
      </w:r>
    </w:p>
    <w:p w14:paraId="13FC9AE3">
      <w:pPr>
        <w:spacing w:line="500" w:lineRule="exact"/>
        <w:ind w:firstLine="480"/>
        <w:jc w:val="left"/>
        <w:rPr>
          <w:sz w:val="24"/>
          <w:szCs w:val="24"/>
        </w:rPr>
      </w:pPr>
      <w:r>
        <w:rPr>
          <w:rFonts w:hint="eastAsia"/>
          <w:sz w:val="24"/>
          <w:szCs w:val="24"/>
        </w:rPr>
        <w:t>本项目（是/否）接受联合体投标：</w:t>
      </w:r>
      <w:r>
        <w:rPr>
          <w:rFonts w:hint="eastAsia" w:eastAsia="宋体"/>
          <w:sz w:val="24"/>
          <w:szCs w:val="24"/>
        </w:rPr>
        <w:t>不接受</w:t>
      </w:r>
      <w:r>
        <w:rPr>
          <w:sz w:val="24"/>
          <w:szCs w:val="24"/>
        </w:rPr>
        <w:t>联合体</w:t>
      </w:r>
      <w:r>
        <w:rPr>
          <w:rFonts w:hint="eastAsia"/>
          <w:sz w:val="24"/>
          <w:szCs w:val="24"/>
        </w:rPr>
        <w:t>。</w:t>
      </w:r>
    </w:p>
    <w:p w14:paraId="3EBC2C36">
      <w:pPr>
        <w:pStyle w:val="3"/>
        <w:spacing w:before="0" w:after="0" w:line="360" w:lineRule="auto"/>
        <w:rPr>
          <w:rFonts w:ascii="黑体" w:hAnsi="黑体" w:eastAsia="黑体"/>
          <w:b w:val="0"/>
        </w:rPr>
      </w:pPr>
      <w:r>
        <w:rPr>
          <w:rFonts w:hint="eastAsia" w:ascii="黑体" w:hAnsi="黑体" w:eastAsia="黑体"/>
          <w:b w:val="0"/>
        </w:rPr>
        <w:t>二、申请人的资格要求</w:t>
      </w:r>
    </w:p>
    <w:p w14:paraId="77A77392">
      <w:pPr>
        <w:spacing w:line="500" w:lineRule="exact"/>
        <w:ind w:firstLine="480"/>
        <w:jc w:val="left"/>
        <w:rPr>
          <w:sz w:val="24"/>
          <w:szCs w:val="24"/>
        </w:rPr>
      </w:pPr>
      <w:r>
        <w:rPr>
          <w:rFonts w:hint="eastAsia"/>
          <w:sz w:val="24"/>
          <w:szCs w:val="24"/>
        </w:rPr>
        <w:t>（一）满足《中华人民共和国政府采购法》第二十二条规定，并提供下列材料：</w:t>
      </w:r>
    </w:p>
    <w:p w14:paraId="7C28A8B0">
      <w:pPr>
        <w:spacing w:line="500" w:lineRule="exact"/>
        <w:ind w:firstLine="480"/>
        <w:jc w:val="left"/>
        <w:rPr>
          <w:sz w:val="24"/>
          <w:szCs w:val="24"/>
        </w:rPr>
      </w:pPr>
      <w:r>
        <w:rPr>
          <w:rFonts w:hint="eastAsia"/>
          <w:sz w:val="24"/>
          <w:szCs w:val="24"/>
        </w:rPr>
        <w:t>1.法人或者其他组织的营业执照等证明文件，自然人的身份证明；</w:t>
      </w:r>
    </w:p>
    <w:p w14:paraId="1CAD57E1">
      <w:pPr>
        <w:spacing w:line="500" w:lineRule="exact"/>
        <w:ind w:firstLine="480"/>
        <w:jc w:val="left"/>
        <w:rPr>
          <w:sz w:val="24"/>
          <w:szCs w:val="24"/>
        </w:rPr>
      </w:pPr>
      <w:r>
        <w:rPr>
          <w:rFonts w:hint="eastAsia"/>
          <w:sz w:val="24"/>
          <w:szCs w:val="24"/>
        </w:rPr>
        <w:t>2.上一年度的财务状况报告；（成立不满一年无需提供）</w:t>
      </w:r>
    </w:p>
    <w:p w14:paraId="3F58CB28">
      <w:pPr>
        <w:spacing w:line="500" w:lineRule="exact"/>
        <w:ind w:firstLine="480"/>
        <w:jc w:val="left"/>
        <w:rPr>
          <w:sz w:val="24"/>
          <w:szCs w:val="24"/>
        </w:rPr>
      </w:pPr>
      <w:r>
        <w:rPr>
          <w:rFonts w:hint="eastAsia"/>
          <w:sz w:val="24"/>
          <w:szCs w:val="24"/>
        </w:rPr>
        <w:t>3.依法缴纳税收和社会保障资金的相关材料；（提供提交响应文件截止时间前一年内至少一个月依法缴纳税收及缴纳社会保障资金的证明材料，供应商依法享受缓缴、免缴税收、社会保障资金的提供证明材料）</w:t>
      </w:r>
    </w:p>
    <w:p w14:paraId="3E691765">
      <w:pPr>
        <w:spacing w:line="500" w:lineRule="exact"/>
        <w:ind w:firstLine="482"/>
        <w:jc w:val="left"/>
        <w:rPr>
          <w:sz w:val="24"/>
          <w:szCs w:val="24"/>
        </w:rPr>
      </w:pPr>
      <w:r>
        <w:rPr>
          <w:rFonts w:hint="eastAsia"/>
          <w:b/>
          <w:bCs/>
          <w:sz w:val="24"/>
          <w:szCs w:val="24"/>
        </w:rPr>
        <w:t>（根据连财购〔2023〕4号文件精神，2、3项可以提供《财务状况报告及税收、社会保障资金缴纳情况承诺函》，详见响应文件格式）</w:t>
      </w:r>
    </w:p>
    <w:p w14:paraId="0826D3C0">
      <w:pPr>
        <w:spacing w:line="500" w:lineRule="exact"/>
        <w:ind w:firstLine="480"/>
        <w:jc w:val="left"/>
        <w:rPr>
          <w:sz w:val="24"/>
          <w:szCs w:val="24"/>
        </w:rPr>
      </w:pPr>
      <w:r>
        <w:rPr>
          <w:rFonts w:hint="eastAsia"/>
          <w:sz w:val="24"/>
          <w:szCs w:val="24"/>
        </w:rPr>
        <w:t>4.具备履行合同所必需的设备和专业技术能力的声明及证明材料；</w:t>
      </w:r>
    </w:p>
    <w:p w14:paraId="4676CBA7">
      <w:pPr>
        <w:spacing w:line="500" w:lineRule="exact"/>
        <w:ind w:firstLine="480"/>
        <w:jc w:val="left"/>
        <w:rPr>
          <w:sz w:val="24"/>
          <w:szCs w:val="24"/>
        </w:rPr>
      </w:pPr>
      <w:r>
        <w:rPr>
          <w:rFonts w:hint="eastAsia"/>
          <w:sz w:val="24"/>
          <w:szCs w:val="24"/>
        </w:rPr>
        <w:t>5.参加政府采购活动前3年内在经营活动中没有重大违法记录的书面声明；</w:t>
      </w:r>
    </w:p>
    <w:p w14:paraId="6C098687">
      <w:pPr>
        <w:spacing w:line="500" w:lineRule="exact"/>
        <w:ind w:firstLine="480"/>
        <w:jc w:val="left"/>
        <w:rPr>
          <w:sz w:val="24"/>
          <w:szCs w:val="24"/>
        </w:rPr>
      </w:pPr>
      <w:r>
        <w:rPr>
          <w:rFonts w:hint="eastAsia"/>
          <w:sz w:val="24"/>
          <w:szCs w:val="24"/>
        </w:rPr>
        <w:t>6.法律、行政法规规定的其他条件；（如有，请按要求提供）</w:t>
      </w:r>
    </w:p>
    <w:p w14:paraId="5A5B0127">
      <w:pPr>
        <w:spacing w:line="500" w:lineRule="exact"/>
        <w:ind w:firstLine="480"/>
        <w:jc w:val="left"/>
        <w:rPr>
          <w:sz w:val="24"/>
          <w:szCs w:val="24"/>
        </w:rPr>
      </w:pPr>
      <w:r>
        <w:rPr>
          <w:rFonts w:hint="eastAsia"/>
          <w:sz w:val="24"/>
          <w:szCs w:val="24"/>
        </w:rPr>
        <w:t>7.</w:t>
      </w:r>
      <w:r>
        <w:rPr>
          <w:rFonts w:hint="eastAsia" w:ascii="Calibri" w:hAnsi="Calibri" w:eastAsia="宋体" w:cs="Times New Roman"/>
          <w:sz w:val="24"/>
          <w:szCs w:val="24"/>
        </w:rPr>
        <w:t>资格审查现场查询信用中国、中国政府采购网</w:t>
      </w:r>
      <w:r>
        <w:rPr>
          <w:rFonts w:hint="eastAsia"/>
          <w:sz w:val="24"/>
          <w:szCs w:val="24"/>
        </w:rPr>
        <w:t>，供应商被</w:t>
      </w:r>
      <w:r>
        <w:rPr>
          <w:rFonts w:hint="eastAsia" w:ascii="Calibri" w:hAnsi="Calibri" w:eastAsia="宋体" w:cs="Times New Roman"/>
          <w:sz w:val="24"/>
          <w:szCs w:val="24"/>
        </w:rPr>
        <w:t>列入失信被执行人、</w:t>
      </w:r>
      <w:r>
        <w:rPr>
          <w:rFonts w:ascii="Calibri" w:hAnsi="Calibri" w:eastAsia="宋体" w:cs="Times New Roman"/>
          <w:sz w:val="24"/>
          <w:szCs w:val="24"/>
        </w:rPr>
        <w:t>税收违法黑名单</w:t>
      </w:r>
      <w:r>
        <w:rPr>
          <w:rFonts w:hint="eastAsia" w:ascii="Calibri" w:hAnsi="Calibri" w:eastAsia="宋体" w:cs="Times New Roman"/>
          <w:sz w:val="24"/>
          <w:szCs w:val="24"/>
        </w:rPr>
        <w:t>、政府采购严重违法失信行为记录名单</w:t>
      </w:r>
      <w:r>
        <w:rPr>
          <w:rFonts w:hint="eastAsia"/>
          <w:sz w:val="24"/>
          <w:szCs w:val="24"/>
        </w:rPr>
        <w:t>及具有其他不符合《中华人民共和国政府采购法》第二十二条规定情形</w:t>
      </w:r>
      <w:r>
        <w:rPr>
          <w:rFonts w:hint="eastAsia" w:ascii="Calibri" w:hAnsi="Calibri" w:eastAsia="宋体" w:cs="Times New Roman"/>
          <w:sz w:val="24"/>
          <w:szCs w:val="24"/>
        </w:rPr>
        <w:t>的，拒绝其参与政府采购活动。</w:t>
      </w:r>
      <w:r>
        <w:rPr>
          <w:rFonts w:hint="eastAsia"/>
          <w:sz w:val="24"/>
          <w:szCs w:val="24"/>
        </w:rPr>
        <w:t>（响应文件中无需提供证明材料）</w:t>
      </w:r>
    </w:p>
    <w:p w14:paraId="1CD8A4A9">
      <w:pPr>
        <w:spacing w:line="500" w:lineRule="exact"/>
        <w:ind w:firstLine="480"/>
        <w:jc w:val="left"/>
        <w:rPr>
          <w:sz w:val="24"/>
          <w:szCs w:val="24"/>
        </w:rPr>
      </w:pPr>
      <w:r>
        <w:rPr>
          <w:rFonts w:hint="eastAsia"/>
          <w:sz w:val="24"/>
          <w:szCs w:val="24"/>
        </w:rPr>
        <w:t>（二）落实政府采购政策需满足的资格要求：</w:t>
      </w:r>
      <w:r>
        <w:rPr>
          <w:rFonts w:hint="eastAsia"/>
          <w:b/>
          <w:bCs/>
          <w:sz w:val="24"/>
          <w:szCs w:val="24"/>
          <w:lang w:val="en-US" w:eastAsia="zh-CN"/>
        </w:rPr>
        <w:t>无</w:t>
      </w:r>
      <w:r>
        <w:rPr>
          <w:rFonts w:hint="eastAsia" w:ascii="宋体" w:hAnsi="宋体" w:eastAsia="宋体" w:cs="宋体"/>
          <w:b/>
          <w:bCs/>
          <w:color w:val="000000" w:themeColor="text1"/>
          <w:sz w:val="24"/>
          <w:szCs w:val="28"/>
          <w14:textFill>
            <w14:solidFill>
              <w14:schemeClr w14:val="tx1"/>
            </w14:solidFill>
          </w14:textFill>
        </w:rPr>
        <w:t>。</w:t>
      </w:r>
    </w:p>
    <w:p w14:paraId="6099C935">
      <w:pPr>
        <w:spacing w:line="500" w:lineRule="exact"/>
        <w:ind w:firstLine="482"/>
        <w:jc w:val="left"/>
        <w:rPr>
          <w:rFonts w:eastAsia="宋体"/>
          <w:b/>
          <w:bCs/>
          <w:sz w:val="24"/>
          <w:szCs w:val="24"/>
        </w:rPr>
      </w:pPr>
      <w:r>
        <w:rPr>
          <w:rFonts w:hint="eastAsia"/>
          <w:sz w:val="24"/>
          <w:szCs w:val="24"/>
        </w:rPr>
        <w:t>（三）本项目的特定资格要求：</w:t>
      </w:r>
      <w:r>
        <w:rPr>
          <w:rFonts w:hint="eastAsia" w:ascii="宋体" w:hAnsi="宋体" w:eastAsia="宋体" w:cs="宋体"/>
          <w:b/>
          <w:color w:val="000000" w:themeColor="text1"/>
          <w:sz w:val="24"/>
          <w:szCs w:val="28"/>
          <w14:textFill>
            <w14:solidFill>
              <w14:schemeClr w14:val="tx1"/>
            </w14:solidFill>
          </w14:textFill>
        </w:rPr>
        <w:t>无。</w:t>
      </w:r>
    </w:p>
    <w:p w14:paraId="7B2A5239">
      <w:pPr>
        <w:pStyle w:val="3"/>
        <w:spacing w:before="0" w:after="0" w:line="360" w:lineRule="auto"/>
        <w:rPr>
          <w:rFonts w:ascii="黑体" w:hAnsi="黑体" w:eastAsia="黑体"/>
          <w:b w:val="0"/>
        </w:rPr>
      </w:pPr>
      <w:r>
        <w:rPr>
          <w:rFonts w:hint="eastAsia" w:ascii="黑体" w:hAnsi="黑体" w:eastAsia="黑体"/>
          <w:b w:val="0"/>
        </w:rPr>
        <w:t>三、获取采购文件</w:t>
      </w:r>
    </w:p>
    <w:p w14:paraId="7B546658">
      <w:pPr>
        <w:spacing w:line="560" w:lineRule="exact"/>
        <w:ind w:firstLine="480" w:firstLineChars="200"/>
        <w:jc w:val="left"/>
        <w:rPr>
          <w:rFonts w:ascii="宋体" w:hAnsi="宋体" w:cs="Times New Roman"/>
          <w:color w:val="FF0000"/>
          <w:sz w:val="24"/>
          <w:szCs w:val="24"/>
        </w:rPr>
      </w:pPr>
      <w:r>
        <w:rPr>
          <w:rFonts w:hint="eastAsia" w:ascii="宋体" w:hAnsi="宋体" w:cs="Times New Roman"/>
          <w:sz w:val="24"/>
          <w:szCs w:val="24"/>
        </w:rPr>
        <w:t>时间：</w:t>
      </w:r>
      <w:r>
        <w:rPr>
          <w:rFonts w:hint="eastAsia" w:ascii="宋体" w:hAnsi="宋体" w:cs="Times New Roman"/>
          <w:b/>
          <w:bCs/>
          <w:color w:val="FF0000"/>
          <w:sz w:val="24"/>
          <w:szCs w:val="24"/>
        </w:rPr>
        <w:t>2025年</w:t>
      </w:r>
      <w:r>
        <w:rPr>
          <w:rFonts w:hint="eastAsia" w:ascii="宋体" w:hAnsi="宋体" w:cs="Times New Roman"/>
          <w:b/>
          <w:bCs/>
          <w:color w:val="FF0000"/>
          <w:sz w:val="24"/>
          <w:szCs w:val="24"/>
          <w:lang w:val="en-US" w:eastAsia="zh-CN"/>
        </w:rPr>
        <w:t>11</w:t>
      </w:r>
      <w:r>
        <w:rPr>
          <w:rFonts w:hint="eastAsia" w:ascii="宋体" w:hAnsi="宋体" w:cs="Times New Roman"/>
          <w:b/>
          <w:bCs/>
          <w:color w:val="FF0000"/>
          <w:sz w:val="24"/>
          <w:szCs w:val="24"/>
        </w:rPr>
        <w:t>月</w:t>
      </w:r>
      <w:r>
        <w:rPr>
          <w:rFonts w:hint="eastAsia" w:ascii="宋体" w:hAnsi="宋体" w:cs="Times New Roman"/>
          <w:b/>
          <w:bCs/>
          <w:color w:val="FF0000"/>
          <w:sz w:val="24"/>
          <w:szCs w:val="24"/>
          <w:lang w:val="en-US" w:eastAsia="zh-CN"/>
        </w:rPr>
        <w:t>20</w:t>
      </w:r>
      <w:r>
        <w:rPr>
          <w:rFonts w:hint="eastAsia" w:ascii="宋体" w:hAnsi="宋体" w:cs="Times New Roman"/>
          <w:b/>
          <w:bCs/>
          <w:color w:val="FF0000"/>
          <w:sz w:val="24"/>
          <w:szCs w:val="24"/>
        </w:rPr>
        <w:t>日至2025年</w:t>
      </w:r>
      <w:r>
        <w:rPr>
          <w:rFonts w:hint="eastAsia" w:ascii="宋体" w:hAnsi="宋体" w:cs="Times New Roman"/>
          <w:b/>
          <w:bCs/>
          <w:color w:val="FF0000"/>
          <w:sz w:val="24"/>
          <w:szCs w:val="24"/>
          <w:lang w:val="en-US" w:eastAsia="zh-CN"/>
        </w:rPr>
        <w:t>11</w:t>
      </w:r>
      <w:r>
        <w:rPr>
          <w:rFonts w:hint="eastAsia" w:ascii="宋体" w:hAnsi="宋体" w:cs="Times New Roman"/>
          <w:b/>
          <w:bCs/>
          <w:color w:val="FF0000"/>
          <w:sz w:val="24"/>
          <w:szCs w:val="24"/>
        </w:rPr>
        <w:t>月</w:t>
      </w:r>
      <w:r>
        <w:rPr>
          <w:rFonts w:hint="eastAsia" w:ascii="宋体" w:hAnsi="宋体" w:cs="Times New Roman"/>
          <w:b/>
          <w:bCs/>
          <w:color w:val="FF0000"/>
          <w:sz w:val="24"/>
          <w:szCs w:val="24"/>
          <w:lang w:val="en-US" w:eastAsia="zh-CN"/>
        </w:rPr>
        <w:t>27</w:t>
      </w:r>
      <w:r>
        <w:rPr>
          <w:rFonts w:hint="eastAsia" w:ascii="宋体" w:hAnsi="宋体" w:cs="Times New Roman"/>
          <w:b/>
          <w:bCs/>
          <w:color w:val="FF0000"/>
          <w:sz w:val="24"/>
          <w:szCs w:val="24"/>
        </w:rPr>
        <w:t>日，上午08:30-12:00，下午14:30-17:30（</w:t>
      </w:r>
      <w:r>
        <w:rPr>
          <w:rFonts w:hint="eastAsia" w:ascii="宋体" w:hAnsi="宋体" w:eastAsia="宋体" w:cs="Times New Roman"/>
          <w:b/>
          <w:bCs/>
          <w:color w:val="FF0000"/>
          <w:sz w:val="24"/>
          <w:szCs w:val="24"/>
        </w:rPr>
        <w:t>北京时间，节假日除外</w:t>
      </w:r>
      <w:r>
        <w:rPr>
          <w:rFonts w:hint="eastAsia" w:ascii="宋体" w:hAnsi="宋体" w:cs="Times New Roman"/>
          <w:b/>
          <w:bCs/>
          <w:color w:val="FF0000"/>
          <w:sz w:val="24"/>
          <w:szCs w:val="24"/>
        </w:rPr>
        <w:t>）</w:t>
      </w:r>
    </w:p>
    <w:p w14:paraId="06F88ED5">
      <w:pPr>
        <w:spacing w:line="560" w:lineRule="exact"/>
        <w:ind w:firstLine="480" w:firstLineChars="200"/>
        <w:jc w:val="left"/>
        <w:rPr>
          <w:rFonts w:hint="default" w:ascii="宋体" w:hAnsi="宋体" w:cs="Times New Roman" w:eastAsiaTheme="minorEastAsia"/>
          <w:sz w:val="24"/>
          <w:szCs w:val="24"/>
          <w:highlight w:val="yellow"/>
          <w:lang w:val="en-US" w:eastAsia="zh-CN"/>
        </w:rPr>
      </w:pPr>
      <w:r>
        <w:rPr>
          <w:rFonts w:hint="eastAsia" w:ascii="宋体" w:hAnsi="宋体" w:cs="Times New Roman"/>
          <w:sz w:val="24"/>
          <w:szCs w:val="24"/>
        </w:rPr>
        <w:t>地点：前往（江苏协鸿工程咨询有限公司）连云港市海州区秦东门大街兴亿达大厦西厅14楼</w:t>
      </w:r>
      <w:r>
        <w:rPr>
          <w:rFonts w:hint="eastAsia" w:ascii="宋体" w:hAnsi="宋体" w:cs="Times New Roman"/>
          <w:sz w:val="24"/>
          <w:szCs w:val="24"/>
          <w:lang w:val="en-US" w:eastAsia="zh-CN"/>
        </w:rPr>
        <w:t>1415</w:t>
      </w:r>
      <w:r>
        <w:rPr>
          <w:rFonts w:hint="eastAsia" w:ascii="宋体" w:hAnsi="宋体" w:cs="Times New Roman"/>
          <w:sz w:val="24"/>
          <w:szCs w:val="24"/>
        </w:rPr>
        <w:t>室获取</w:t>
      </w:r>
      <w:r>
        <w:rPr>
          <w:rFonts w:hint="eastAsia" w:ascii="宋体" w:hAnsi="宋体" w:cs="Times New Roman"/>
          <w:sz w:val="24"/>
          <w:szCs w:val="24"/>
          <w:lang w:val="en-US" w:eastAsia="zh-CN"/>
        </w:rPr>
        <w:t>纸质</w:t>
      </w:r>
      <w:r>
        <w:rPr>
          <w:rFonts w:hint="eastAsia" w:ascii="宋体" w:hAnsi="宋体" w:cs="Times New Roman"/>
          <w:sz w:val="24"/>
          <w:szCs w:val="24"/>
        </w:rPr>
        <w:t>采购文件</w:t>
      </w:r>
      <w:r>
        <w:rPr>
          <w:rFonts w:hint="eastAsia" w:ascii="宋体" w:hAnsi="宋体" w:cs="Times New Roman"/>
          <w:sz w:val="24"/>
          <w:szCs w:val="24"/>
          <w:lang w:val="en-US" w:eastAsia="zh-CN"/>
        </w:rPr>
        <w:t>或将下列资料扫描件发送到邮箱385968467@qq.com获取电子文件：</w:t>
      </w:r>
    </w:p>
    <w:p w14:paraId="461FA7E1">
      <w:pPr>
        <w:autoSpaceDE w:val="0"/>
        <w:autoSpaceDN w:val="0"/>
        <w:adjustRightInd w:val="0"/>
        <w:spacing w:line="560" w:lineRule="exact"/>
        <w:ind w:firstLine="480" w:firstLineChars="200"/>
        <w:rPr>
          <w:rFonts w:hint="eastAsia" w:ascii="宋体" w:hAnsi="宋体" w:cs="Times New Roman"/>
          <w:sz w:val="24"/>
          <w:szCs w:val="24"/>
        </w:rPr>
      </w:pPr>
      <w:r>
        <w:rPr>
          <w:rFonts w:hint="eastAsia" w:ascii="宋体" w:hAnsi="宋体" w:cs="宋体"/>
          <w:sz w:val="24"/>
          <w:szCs w:val="28"/>
        </w:rPr>
        <w:t>供应商代表携带营业执照复印件、</w:t>
      </w:r>
      <w:r>
        <w:rPr>
          <w:rFonts w:hint="eastAsia" w:ascii="宋体" w:hAnsi="宋体" w:cs="Times New Roman"/>
          <w:sz w:val="24"/>
          <w:szCs w:val="28"/>
        </w:rPr>
        <w:t>法定代表人授权委托书</w:t>
      </w:r>
      <w:r>
        <w:rPr>
          <w:rFonts w:hint="eastAsia" w:ascii="宋体" w:hAnsi="宋体" w:cs="宋体"/>
          <w:sz w:val="24"/>
          <w:szCs w:val="28"/>
        </w:rPr>
        <w:t>原件</w:t>
      </w:r>
      <w:r>
        <w:rPr>
          <w:rFonts w:hint="eastAsia" w:ascii="宋体" w:hAnsi="宋体" w:cs="Times New Roman"/>
          <w:sz w:val="24"/>
          <w:szCs w:val="28"/>
        </w:rPr>
        <w:t>（注明联系人、联系方式、邮箱）</w:t>
      </w:r>
      <w:r>
        <w:rPr>
          <w:rFonts w:hint="eastAsia" w:ascii="宋体" w:hAnsi="宋体" w:cs="宋体"/>
          <w:sz w:val="24"/>
          <w:szCs w:val="28"/>
        </w:rPr>
        <w:t>、法人身份证复印件和经办人身份证复印件</w:t>
      </w:r>
      <w:r>
        <w:rPr>
          <w:rFonts w:hint="eastAsia" w:ascii="宋体" w:hAnsi="宋体" w:cs="Times New Roman"/>
          <w:sz w:val="24"/>
          <w:szCs w:val="24"/>
        </w:rPr>
        <w:t>。</w:t>
      </w:r>
    </w:p>
    <w:p w14:paraId="5AB34D8E">
      <w:pPr>
        <w:autoSpaceDE w:val="0"/>
        <w:autoSpaceDN w:val="0"/>
        <w:adjustRightInd w:val="0"/>
        <w:spacing w:line="560" w:lineRule="exact"/>
        <w:ind w:firstLine="480" w:firstLineChars="200"/>
        <w:rPr>
          <w:rFonts w:hint="eastAsia" w:ascii="宋体" w:hAnsi="宋体" w:cs="Times New Roman"/>
          <w:sz w:val="24"/>
          <w:szCs w:val="24"/>
        </w:rPr>
      </w:pPr>
      <w:r>
        <w:rPr>
          <w:rFonts w:hint="eastAsia" w:ascii="宋体" w:hAnsi="宋体" w:cs="Times New Roman"/>
          <w:sz w:val="24"/>
          <w:szCs w:val="24"/>
        </w:rPr>
        <w:t>潜在供应商应在响应截止时间前随时查看</w:t>
      </w:r>
      <w:r>
        <w:rPr>
          <w:rFonts w:hint="eastAsia" w:ascii="宋体" w:hAnsi="宋体" w:cs="Times New Roman"/>
          <w:sz w:val="24"/>
          <w:szCs w:val="24"/>
          <w:lang w:eastAsia="zh-CN"/>
        </w:rPr>
        <w:t>“江苏招标采购公共服务平</w:t>
      </w:r>
      <w:bookmarkStart w:id="27" w:name="_GoBack"/>
      <w:bookmarkEnd w:id="27"/>
      <w:r>
        <w:rPr>
          <w:rFonts w:hint="eastAsia" w:ascii="宋体" w:hAnsi="宋体" w:cs="Times New Roman"/>
          <w:sz w:val="24"/>
          <w:szCs w:val="24"/>
          <w:lang w:eastAsia="zh-CN"/>
        </w:rPr>
        <w:t>台”</w:t>
      </w:r>
      <w:r>
        <w:rPr>
          <w:rFonts w:hint="eastAsia" w:ascii="宋体" w:hAnsi="宋体" w:cs="Times New Roman"/>
          <w:sz w:val="24"/>
          <w:szCs w:val="24"/>
        </w:rPr>
        <w:t>中有关该项目的答疑和相关内容。否则，由此引起的投标损失自负。</w:t>
      </w:r>
    </w:p>
    <w:p w14:paraId="3B7FBA30">
      <w:pPr>
        <w:autoSpaceDE w:val="0"/>
        <w:autoSpaceDN w:val="0"/>
        <w:adjustRightInd w:val="0"/>
        <w:spacing w:line="560" w:lineRule="exact"/>
        <w:ind w:firstLine="480" w:firstLineChars="200"/>
        <w:rPr>
          <w:sz w:val="24"/>
          <w:szCs w:val="24"/>
        </w:rPr>
      </w:pPr>
      <w:r>
        <w:rPr>
          <w:rFonts w:hint="eastAsia" w:ascii="宋体" w:hAnsi="宋体" w:cs="Times New Roman"/>
          <w:sz w:val="24"/>
          <w:szCs w:val="24"/>
        </w:rPr>
        <w:t>本次磋商采用资格后审方式进行资格审查。能够购买</w:t>
      </w:r>
      <w:r>
        <w:rPr>
          <w:rFonts w:hint="eastAsia" w:ascii="宋体" w:hAnsi="宋体" w:cs="Times New Roman"/>
          <w:sz w:val="24"/>
          <w:szCs w:val="24"/>
          <w:lang w:val="en-US" w:eastAsia="zh-CN"/>
        </w:rPr>
        <w:t>纸质</w:t>
      </w:r>
      <w:r>
        <w:rPr>
          <w:rFonts w:hint="eastAsia" w:ascii="宋体" w:hAnsi="宋体" w:cs="Times New Roman"/>
          <w:sz w:val="24"/>
          <w:szCs w:val="24"/>
        </w:rPr>
        <w:t>采购文件并不代表资格审查合格，采购人、采购代理机构对此不承担任何责任。开标后由磋商小组按照采购文件规定的标准和方法进行资格审查。</w:t>
      </w:r>
    </w:p>
    <w:p w14:paraId="019EEC35">
      <w:pPr>
        <w:pStyle w:val="3"/>
        <w:spacing w:before="0" w:after="0" w:line="360" w:lineRule="auto"/>
        <w:rPr>
          <w:rFonts w:ascii="黑体" w:hAnsi="黑体" w:eastAsia="黑体"/>
          <w:b w:val="0"/>
        </w:rPr>
      </w:pPr>
      <w:r>
        <w:rPr>
          <w:rFonts w:hint="eastAsia" w:ascii="黑体" w:hAnsi="黑体" w:eastAsia="黑体"/>
          <w:b w:val="0"/>
        </w:rPr>
        <w:t>四、提交响应文件截止时间、开启时间和地点</w:t>
      </w:r>
    </w:p>
    <w:p w14:paraId="36EDE249">
      <w:pPr>
        <w:spacing w:line="560" w:lineRule="exact"/>
        <w:ind w:firstLine="480" w:firstLineChars="200"/>
        <w:jc w:val="left"/>
        <w:rPr>
          <w:rFonts w:ascii="宋体" w:hAnsi="宋体" w:cs="Times New Roman"/>
          <w:sz w:val="24"/>
          <w:szCs w:val="24"/>
        </w:rPr>
      </w:pPr>
      <w:r>
        <w:rPr>
          <w:rFonts w:hint="eastAsia" w:ascii="宋体" w:hAnsi="宋体" w:cs="Times New Roman"/>
          <w:sz w:val="24"/>
          <w:szCs w:val="24"/>
        </w:rPr>
        <w:t>响应文件接收时间与地点：</w:t>
      </w:r>
    </w:p>
    <w:p w14:paraId="51232D51">
      <w:pPr>
        <w:spacing w:line="560" w:lineRule="exact"/>
        <w:ind w:firstLine="480" w:firstLineChars="200"/>
        <w:jc w:val="left"/>
        <w:rPr>
          <w:rFonts w:hint="eastAsia" w:ascii="宋体" w:hAnsi="宋体" w:cs="Times New Roman"/>
          <w:sz w:val="24"/>
          <w:szCs w:val="24"/>
        </w:rPr>
      </w:pPr>
      <w:r>
        <w:rPr>
          <w:rFonts w:hint="eastAsia" w:ascii="宋体" w:hAnsi="宋体" w:cs="Times New Roman"/>
          <w:sz w:val="24"/>
          <w:szCs w:val="24"/>
        </w:rPr>
        <w:t>响应文件接收截止时间：2025年</w:t>
      </w:r>
      <w:r>
        <w:rPr>
          <w:rFonts w:hint="eastAsia" w:ascii="宋体" w:hAnsi="宋体" w:cs="Times New Roman"/>
          <w:sz w:val="24"/>
          <w:szCs w:val="24"/>
          <w:lang w:val="en-US" w:eastAsia="zh-CN"/>
        </w:rPr>
        <w:t>12</w:t>
      </w:r>
      <w:r>
        <w:rPr>
          <w:rFonts w:hint="eastAsia" w:ascii="宋体" w:hAnsi="宋体" w:cs="Times New Roman"/>
          <w:sz w:val="24"/>
          <w:szCs w:val="24"/>
        </w:rPr>
        <w:t>月</w:t>
      </w:r>
      <w:r>
        <w:rPr>
          <w:rFonts w:hint="eastAsia" w:ascii="宋体" w:hAnsi="宋体" w:cs="Times New Roman"/>
          <w:sz w:val="24"/>
          <w:szCs w:val="24"/>
          <w:lang w:val="en-US" w:eastAsia="zh-CN"/>
        </w:rPr>
        <w:t>1</w:t>
      </w:r>
      <w:r>
        <w:rPr>
          <w:rFonts w:hint="eastAsia" w:ascii="宋体" w:hAnsi="宋体" w:cs="Times New Roman"/>
          <w:sz w:val="24"/>
          <w:szCs w:val="24"/>
        </w:rPr>
        <w:t xml:space="preserve">日 </w:t>
      </w:r>
      <w:r>
        <w:rPr>
          <w:rFonts w:hint="eastAsia" w:ascii="宋体" w:hAnsi="宋体" w:cs="Times New Roman"/>
          <w:sz w:val="24"/>
          <w:szCs w:val="24"/>
          <w:lang w:val="en-US" w:eastAsia="zh-CN"/>
        </w:rPr>
        <w:t>上</w:t>
      </w:r>
      <w:r>
        <w:rPr>
          <w:rFonts w:hint="eastAsia" w:ascii="宋体" w:hAnsi="宋体" w:cs="Times New Roman"/>
          <w:sz w:val="24"/>
          <w:szCs w:val="24"/>
        </w:rPr>
        <w:t>午</w:t>
      </w:r>
      <w:r>
        <w:rPr>
          <w:rFonts w:hint="eastAsia" w:ascii="宋体" w:hAnsi="宋体" w:cs="Times New Roman"/>
          <w:sz w:val="24"/>
          <w:szCs w:val="24"/>
          <w:lang w:val="en-US" w:eastAsia="zh-CN"/>
        </w:rPr>
        <w:t>9</w:t>
      </w:r>
      <w:r>
        <w:rPr>
          <w:rFonts w:hint="eastAsia" w:ascii="宋体" w:hAnsi="宋体" w:cs="Times New Roman"/>
          <w:sz w:val="24"/>
          <w:szCs w:val="24"/>
        </w:rPr>
        <w:t>:00:00（北京时间）</w:t>
      </w:r>
    </w:p>
    <w:p w14:paraId="27958769">
      <w:pPr>
        <w:spacing w:line="560" w:lineRule="exact"/>
        <w:ind w:firstLine="480" w:firstLineChars="200"/>
        <w:jc w:val="left"/>
        <w:rPr>
          <w:rFonts w:hint="eastAsia" w:ascii="宋体" w:hAnsi="宋体" w:cs="Times New Roman"/>
          <w:sz w:val="24"/>
          <w:szCs w:val="24"/>
          <w:lang w:val="en-US" w:eastAsia="zh-CN"/>
        </w:rPr>
      </w:pPr>
      <w:r>
        <w:rPr>
          <w:rFonts w:hint="eastAsia" w:ascii="宋体" w:hAnsi="宋体" w:cs="Times New Roman"/>
          <w:sz w:val="24"/>
          <w:szCs w:val="24"/>
          <w:lang w:val="en-US" w:eastAsia="zh-CN"/>
        </w:rPr>
        <w:t>响应文件递交地址：连云港市海州区秦东门大街兴亿达大厦西厅14楼会议室</w:t>
      </w:r>
    </w:p>
    <w:p w14:paraId="58A767D3">
      <w:pPr>
        <w:pStyle w:val="3"/>
        <w:spacing w:before="0" w:after="0" w:line="360" w:lineRule="auto"/>
        <w:rPr>
          <w:rFonts w:ascii="黑体" w:hAnsi="黑体" w:eastAsia="黑体"/>
          <w:b w:val="0"/>
        </w:rPr>
      </w:pPr>
      <w:r>
        <w:rPr>
          <w:rFonts w:hint="eastAsia" w:ascii="黑体" w:hAnsi="黑体" w:eastAsia="黑体"/>
          <w:b w:val="0"/>
        </w:rPr>
        <w:t>五、公告期限</w:t>
      </w:r>
    </w:p>
    <w:p w14:paraId="3EE355E8">
      <w:pPr>
        <w:spacing w:line="500" w:lineRule="exact"/>
        <w:ind w:firstLine="480"/>
        <w:jc w:val="left"/>
        <w:rPr>
          <w:sz w:val="24"/>
          <w:szCs w:val="24"/>
        </w:rPr>
      </w:pPr>
      <w:r>
        <w:rPr>
          <w:rFonts w:hint="eastAsia"/>
          <w:sz w:val="24"/>
          <w:szCs w:val="24"/>
        </w:rPr>
        <w:t>自本公告发布之日起3个工作日。</w:t>
      </w:r>
    </w:p>
    <w:p w14:paraId="20CB832B">
      <w:pPr>
        <w:pStyle w:val="3"/>
        <w:spacing w:before="0" w:after="0" w:line="360" w:lineRule="auto"/>
        <w:rPr>
          <w:rFonts w:ascii="黑体" w:hAnsi="黑体" w:eastAsia="黑体"/>
          <w:b w:val="0"/>
        </w:rPr>
      </w:pPr>
      <w:r>
        <w:rPr>
          <w:rFonts w:hint="eastAsia" w:ascii="黑体" w:hAnsi="黑体" w:eastAsia="黑体"/>
          <w:b w:val="0"/>
        </w:rPr>
        <w:t>六、其他补充事宜</w:t>
      </w:r>
    </w:p>
    <w:p w14:paraId="56734E11">
      <w:pPr>
        <w:spacing w:line="560" w:lineRule="exact"/>
        <w:ind w:firstLine="480" w:firstLineChars="200"/>
        <w:rPr>
          <w:rFonts w:ascii="宋体" w:hAnsi="宋体" w:cs="宋体"/>
          <w:sz w:val="24"/>
          <w:szCs w:val="28"/>
        </w:rPr>
      </w:pPr>
      <w:r>
        <w:rPr>
          <w:rFonts w:hint="eastAsia" w:ascii="宋体" w:hAnsi="宋体" w:cs="宋体"/>
          <w:sz w:val="24"/>
          <w:szCs w:val="28"/>
        </w:rPr>
        <w:t>1.本次磋商采购不收取保证金。</w:t>
      </w:r>
    </w:p>
    <w:p w14:paraId="4D449D50">
      <w:pPr>
        <w:spacing w:line="560" w:lineRule="exact"/>
        <w:ind w:firstLine="480" w:firstLineChars="200"/>
        <w:rPr>
          <w:rFonts w:ascii="宋体" w:hAnsi="宋体" w:cs="宋体"/>
          <w:sz w:val="24"/>
          <w:szCs w:val="28"/>
        </w:rPr>
      </w:pPr>
      <w:r>
        <w:rPr>
          <w:rFonts w:hint="eastAsia" w:ascii="宋体" w:hAnsi="宋体" w:cs="宋体"/>
          <w:sz w:val="24"/>
          <w:szCs w:val="28"/>
        </w:rPr>
        <w:t>2.本磋商文件中</w:t>
      </w:r>
      <w:r>
        <w:rPr>
          <w:rFonts w:hint="eastAsia" w:ascii="宋体" w:hAnsi="宋体" w:cs="宋体"/>
          <w:b/>
          <w:bCs/>
          <w:i/>
          <w:iCs/>
          <w:sz w:val="24"/>
          <w:szCs w:val="28"/>
          <w:u w:val="single"/>
        </w:rPr>
        <w:t>斜体且有下划线</w:t>
      </w:r>
      <w:r>
        <w:rPr>
          <w:rFonts w:hint="eastAsia" w:ascii="宋体" w:hAnsi="宋体" w:cs="宋体"/>
          <w:sz w:val="24"/>
          <w:szCs w:val="28"/>
        </w:rPr>
        <w:t>的款项为实质性响应要求和条件，如不满足将按无效响应文件处理。</w:t>
      </w:r>
    </w:p>
    <w:p w14:paraId="7C117D14">
      <w:pPr>
        <w:spacing w:line="500" w:lineRule="exact"/>
        <w:ind w:firstLine="480"/>
        <w:jc w:val="left"/>
        <w:rPr>
          <w:sz w:val="24"/>
          <w:szCs w:val="24"/>
        </w:rPr>
      </w:pPr>
      <w:r>
        <w:rPr>
          <w:rFonts w:hint="eastAsia" w:ascii="宋体" w:hAnsi="宋体" w:cs="宋体"/>
          <w:sz w:val="24"/>
          <w:szCs w:val="28"/>
        </w:rPr>
        <w:t>3.无论出于何种原因，采购人在采购活动开始前可对采购文件进行修改、补充或变更，其内容作为采购文件的重要组成部分，请各供应商关注</w:t>
      </w:r>
      <w:r>
        <w:rPr>
          <w:rFonts w:hint="eastAsia" w:ascii="宋体" w:hAnsi="宋体" w:cs="Times New Roman"/>
          <w:sz w:val="24"/>
          <w:szCs w:val="24"/>
          <w:lang w:eastAsia="zh-CN"/>
        </w:rPr>
        <w:t>江苏招标采购公共服务平台</w:t>
      </w:r>
      <w:r>
        <w:rPr>
          <w:rFonts w:hint="eastAsia" w:ascii="宋体" w:hAnsi="宋体" w:cs="宋体"/>
          <w:sz w:val="24"/>
          <w:szCs w:val="28"/>
        </w:rPr>
        <w:t>。若因供应商自身原因未及时关注本项目有关修改、补充或变更信息，导致响应文件编制或提交失误，由此造成的一切损失由供应商自行承担。</w:t>
      </w:r>
    </w:p>
    <w:p w14:paraId="56C15046">
      <w:pPr>
        <w:pStyle w:val="3"/>
        <w:spacing w:before="0" w:after="0" w:line="360" w:lineRule="auto"/>
        <w:rPr>
          <w:rFonts w:ascii="黑体" w:hAnsi="黑体" w:eastAsia="黑体"/>
          <w:b w:val="0"/>
        </w:rPr>
      </w:pPr>
      <w:r>
        <w:rPr>
          <w:rFonts w:hint="eastAsia" w:ascii="黑体" w:hAnsi="黑体" w:eastAsia="黑体"/>
          <w:b w:val="0"/>
        </w:rPr>
        <w:t>七、对本次采购提出询问，请按以下方式联系</w:t>
      </w:r>
    </w:p>
    <w:p w14:paraId="3C7F0E33">
      <w:pPr>
        <w:spacing w:line="500" w:lineRule="exact"/>
        <w:ind w:firstLine="480"/>
        <w:jc w:val="left"/>
        <w:rPr>
          <w:sz w:val="24"/>
          <w:szCs w:val="24"/>
        </w:rPr>
      </w:pPr>
      <w:r>
        <w:rPr>
          <w:rFonts w:hint="eastAsia"/>
          <w:sz w:val="24"/>
          <w:szCs w:val="24"/>
        </w:rPr>
        <w:t>1.采购人信息</w:t>
      </w:r>
    </w:p>
    <w:p w14:paraId="3A6A5F42">
      <w:pPr>
        <w:spacing w:line="500" w:lineRule="exact"/>
        <w:ind w:firstLine="480"/>
        <w:jc w:val="left"/>
        <w:rPr>
          <w:rFonts w:hint="eastAsia" w:eastAsiaTheme="minorEastAsia"/>
          <w:sz w:val="24"/>
          <w:szCs w:val="24"/>
          <w:lang w:eastAsia="zh-CN"/>
        </w:rPr>
      </w:pPr>
      <w:r>
        <w:rPr>
          <w:rFonts w:hint="eastAsia"/>
          <w:sz w:val="24"/>
          <w:szCs w:val="24"/>
        </w:rPr>
        <w:t>名    称：</w:t>
      </w:r>
      <w:r>
        <w:rPr>
          <w:rFonts w:hint="eastAsia"/>
          <w:sz w:val="24"/>
          <w:szCs w:val="24"/>
          <w:lang w:eastAsia="zh-CN"/>
        </w:rPr>
        <w:t>连云港市发展和改革委员会</w:t>
      </w:r>
    </w:p>
    <w:p w14:paraId="7C76B7E5">
      <w:pPr>
        <w:spacing w:line="500" w:lineRule="exact"/>
        <w:ind w:firstLine="480"/>
        <w:jc w:val="left"/>
        <w:rPr>
          <w:rFonts w:hint="eastAsia" w:eastAsiaTheme="minorEastAsia"/>
          <w:sz w:val="24"/>
          <w:szCs w:val="24"/>
          <w:lang w:eastAsia="zh-CN"/>
        </w:rPr>
      </w:pPr>
      <w:r>
        <w:rPr>
          <w:rFonts w:hint="eastAsia"/>
          <w:sz w:val="24"/>
          <w:szCs w:val="24"/>
        </w:rPr>
        <w:t>地    址：</w:t>
      </w:r>
      <w:r>
        <w:rPr>
          <w:rFonts w:hint="eastAsia"/>
          <w:sz w:val="24"/>
          <w:szCs w:val="24"/>
          <w:lang w:val="en-US" w:eastAsia="zh-CN"/>
        </w:rPr>
        <w:t>连云港市海州区</w:t>
      </w:r>
    </w:p>
    <w:p w14:paraId="4F605729">
      <w:pPr>
        <w:spacing w:line="500" w:lineRule="exact"/>
        <w:ind w:firstLine="480"/>
        <w:jc w:val="left"/>
        <w:rPr>
          <w:sz w:val="24"/>
          <w:szCs w:val="24"/>
        </w:rPr>
      </w:pPr>
      <w:r>
        <w:rPr>
          <w:rFonts w:hint="eastAsia"/>
          <w:sz w:val="24"/>
          <w:szCs w:val="24"/>
        </w:rPr>
        <w:t>联 系 人：</w:t>
      </w:r>
      <w:r>
        <w:rPr>
          <w:rFonts w:hint="eastAsia"/>
          <w:sz w:val="24"/>
          <w:szCs w:val="24"/>
          <w:lang w:val="en-US" w:eastAsia="zh-CN"/>
        </w:rPr>
        <w:t>朱</w:t>
      </w:r>
      <w:r>
        <w:rPr>
          <w:rFonts w:hint="eastAsia"/>
          <w:sz w:val="24"/>
          <w:szCs w:val="24"/>
        </w:rPr>
        <w:t>先生</w:t>
      </w:r>
    </w:p>
    <w:p w14:paraId="3749C26C">
      <w:pPr>
        <w:spacing w:line="500" w:lineRule="exact"/>
        <w:ind w:firstLine="480"/>
        <w:jc w:val="left"/>
        <w:rPr>
          <w:sz w:val="24"/>
          <w:szCs w:val="24"/>
        </w:rPr>
      </w:pPr>
      <w:r>
        <w:rPr>
          <w:rFonts w:hint="eastAsia"/>
          <w:sz w:val="24"/>
          <w:szCs w:val="24"/>
        </w:rPr>
        <w:t>联系电话：</w:t>
      </w:r>
      <w:r>
        <w:rPr>
          <w:rFonts w:hint="eastAsia"/>
          <w:sz w:val="24"/>
          <w:szCs w:val="24"/>
          <w:lang w:val="en-US" w:eastAsia="zh-CN"/>
        </w:rPr>
        <w:t>0518-85801091</w:t>
      </w:r>
    </w:p>
    <w:p w14:paraId="4902E50C">
      <w:pPr>
        <w:spacing w:line="500" w:lineRule="exact"/>
        <w:ind w:firstLine="480"/>
        <w:jc w:val="left"/>
        <w:rPr>
          <w:sz w:val="24"/>
          <w:szCs w:val="24"/>
        </w:rPr>
      </w:pPr>
      <w:r>
        <w:rPr>
          <w:rFonts w:hint="eastAsia"/>
          <w:sz w:val="24"/>
          <w:szCs w:val="24"/>
        </w:rPr>
        <w:t>2.采购代理机构信息</w:t>
      </w:r>
    </w:p>
    <w:p w14:paraId="21AD1AAB">
      <w:pPr>
        <w:spacing w:line="460" w:lineRule="exact"/>
        <w:ind w:firstLine="480"/>
        <w:jc w:val="left"/>
        <w:rPr>
          <w:rFonts w:ascii="宋体" w:hAnsi="宋体" w:eastAsia="宋体" w:cs="宋体"/>
          <w:sz w:val="24"/>
          <w:szCs w:val="24"/>
        </w:rPr>
      </w:pPr>
      <w:r>
        <w:rPr>
          <w:rFonts w:hint="eastAsia" w:ascii="宋体" w:hAnsi="宋体" w:eastAsia="宋体" w:cs="宋体"/>
          <w:sz w:val="24"/>
          <w:szCs w:val="24"/>
        </w:rPr>
        <w:t>名    称：江苏协鸿工程咨询有限公司</w:t>
      </w:r>
    </w:p>
    <w:p w14:paraId="47E09CCE">
      <w:pPr>
        <w:spacing w:line="460" w:lineRule="exact"/>
        <w:ind w:firstLine="480"/>
        <w:jc w:val="left"/>
        <w:rPr>
          <w:rFonts w:ascii="宋体" w:hAnsi="宋体" w:eastAsia="宋体" w:cs="宋体"/>
          <w:sz w:val="24"/>
          <w:szCs w:val="24"/>
        </w:rPr>
      </w:pPr>
      <w:r>
        <w:rPr>
          <w:rFonts w:hint="eastAsia" w:ascii="宋体" w:hAnsi="宋体" w:eastAsia="宋体" w:cs="宋体"/>
          <w:sz w:val="24"/>
          <w:szCs w:val="24"/>
        </w:rPr>
        <w:t>地    址：连云港市海州区秦东门大街兴亿达大厦西厅14楼</w:t>
      </w:r>
    </w:p>
    <w:p w14:paraId="77D07696">
      <w:pPr>
        <w:spacing w:line="500" w:lineRule="exact"/>
        <w:ind w:firstLine="480"/>
        <w:jc w:val="left"/>
        <w:rPr>
          <w:rFonts w:ascii="宋体" w:hAnsi="宋体" w:eastAsia="宋体" w:cs="宋体"/>
          <w:sz w:val="24"/>
          <w:szCs w:val="24"/>
        </w:rPr>
      </w:pPr>
      <w:r>
        <w:rPr>
          <w:rFonts w:hint="eastAsia" w:ascii="宋体" w:hAnsi="宋体" w:eastAsia="宋体" w:cs="宋体"/>
          <w:sz w:val="24"/>
          <w:szCs w:val="24"/>
        </w:rPr>
        <w:t>联系方式：陈工  0518-82341968</w:t>
      </w:r>
    </w:p>
    <w:p w14:paraId="70CFEB75">
      <w:pPr>
        <w:spacing w:line="500" w:lineRule="exact"/>
        <w:ind w:firstLine="480"/>
        <w:jc w:val="left"/>
        <w:rPr>
          <w:sz w:val="24"/>
          <w:szCs w:val="24"/>
        </w:rPr>
      </w:pPr>
      <w:r>
        <w:rPr>
          <w:rFonts w:hint="eastAsia"/>
          <w:sz w:val="24"/>
          <w:szCs w:val="24"/>
        </w:rPr>
        <w:t>3.项目联系方式</w:t>
      </w:r>
    </w:p>
    <w:p w14:paraId="0B6AB5C2">
      <w:pPr>
        <w:spacing w:line="500" w:lineRule="exact"/>
        <w:ind w:firstLine="480"/>
        <w:jc w:val="left"/>
        <w:rPr>
          <w:sz w:val="24"/>
          <w:szCs w:val="24"/>
        </w:rPr>
      </w:pPr>
      <w:r>
        <w:rPr>
          <w:rFonts w:hint="eastAsia"/>
          <w:sz w:val="24"/>
          <w:szCs w:val="24"/>
        </w:rPr>
        <w:t>项目联系人：</w:t>
      </w:r>
      <w:r>
        <w:rPr>
          <w:rFonts w:hint="eastAsia"/>
          <w:sz w:val="24"/>
          <w:szCs w:val="24"/>
          <w:lang w:val="en-US" w:eastAsia="zh-CN"/>
        </w:rPr>
        <w:t>朱</w:t>
      </w:r>
      <w:r>
        <w:rPr>
          <w:rFonts w:hint="eastAsia"/>
          <w:sz w:val="24"/>
          <w:szCs w:val="24"/>
        </w:rPr>
        <w:t>先生</w:t>
      </w:r>
    </w:p>
    <w:p w14:paraId="06AC53CC">
      <w:pPr>
        <w:spacing w:line="500" w:lineRule="exact"/>
        <w:ind w:firstLine="480"/>
        <w:jc w:val="left"/>
        <w:rPr>
          <w:rFonts w:ascii="宋体" w:hAnsi="宋体" w:eastAsia="宋体" w:cs="宋体"/>
          <w:sz w:val="24"/>
          <w:szCs w:val="24"/>
        </w:rPr>
      </w:pPr>
      <w:r>
        <w:rPr>
          <w:rFonts w:hint="eastAsia"/>
          <w:sz w:val="24"/>
          <w:szCs w:val="24"/>
        </w:rPr>
        <w:t>电      话：0518-85801091</w:t>
      </w:r>
      <w:r>
        <w:rPr>
          <w:rFonts w:ascii="黑体" w:hAnsi="黑体" w:eastAsia="黑体"/>
          <w:b/>
        </w:rPr>
        <w:br w:type="page" w:clear="all"/>
      </w:r>
    </w:p>
    <w:p w14:paraId="79507AD9">
      <w:pPr>
        <w:pStyle w:val="2"/>
        <w:spacing w:before="156" w:after="156" w:line="360" w:lineRule="auto"/>
        <w:jc w:val="center"/>
        <w:rPr>
          <w:rFonts w:ascii="黑体" w:hAnsi="黑体" w:eastAsia="黑体"/>
          <w:b w:val="0"/>
        </w:rPr>
      </w:pPr>
      <w:bookmarkStart w:id="2" w:name="_Toc27698"/>
      <w:bookmarkStart w:id="3" w:name="_Toc19483"/>
      <w:r>
        <w:rPr>
          <w:rFonts w:hint="eastAsia" w:ascii="黑体" w:hAnsi="黑体" w:eastAsia="黑体"/>
          <w:b w:val="0"/>
        </w:rPr>
        <w:t>第二章  供应商须知</w:t>
      </w:r>
      <w:bookmarkEnd w:id="2"/>
      <w:bookmarkEnd w:id="3"/>
    </w:p>
    <w:p w14:paraId="06FB5494">
      <w:pPr>
        <w:pStyle w:val="3"/>
        <w:spacing w:before="0" w:after="0" w:line="360" w:lineRule="auto"/>
        <w:rPr>
          <w:rFonts w:ascii="黑体" w:hAnsi="黑体" w:eastAsia="黑体"/>
          <w:b w:val="0"/>
        </w:rPr>
      </w:pPr>
      <w:r>
        <w:rPr>
          <w:rFonts w:hint="eastAsia" w:ascii="黑体" w:hAnsi="黑体" w:eastAsia="黑体"/>
          <w:b w:val="0"/>
        </w:rPr>
        <w:t>一、总则</w:t>
      </w:r>
    </w:p>
    <w:p w14:paraId="16C686D0">
      <w:pPr>
        <w:pStyle w:val="4"/>
        <w:spacing w:before="0" w:after="0" w:line="360" w:lineRule="auto"/>
        <w:ind w:firstLine="562"/>
        <w:jc w:val="left"/>
        <w:rPr>
          <w:sz w:val="28"/>
          <w:szCs w:val="28"/>
        </w:rPr>
      </w:pPr>
      <w:r>
        <w:rPr>
          <w:rFonts w:hint="eastAsia"/>
          <w:sz w:val="28"/>
          <w:szCs w:val="28"/>
        </w:rPr>
        <w:t>1、采购方式</w:t>
      </w:r>
    </w:p>
    <w:p w14:paraId="18817B10">
      <w:pPr>
        <w:spacing w:line="500" w:lineRule="exact"/>
        <w:ind w:firstLine="480"/>
        <w:jc w:val="left"/>
        <w:rPr>
          <w:sz w:val="24"/>
          <w:szCs w:val="24"/>
        </w:rPr>
      </w:pPr>
      <w:r>
        <w:rPr>
          <w:rFonts w:hint="eastAsia"/>
          <w:sz w:val="24"/>
          <w:szCs w:val="24"/>
        </w:rPr>
        <w:t>1.1 本次政府采购活动采取竞争性磋商（以下简称磋商）方式，本磋商文件仅适用于磋商公告中所述项目。</w:t>
      </w:r>
    </w:p>
    <w:p w14:paraId="34A9CF04">
      <w:pPr>
        <w:pStyle w:val="4"/>
        <w:spacing w:before="0" w:after="0" w:line="360" w:lineRule="auto"/>
        <w:ind w:firstLine="562"/>
        <w:jc w:val="left"/>
        <w:rPr>
          <w:sz w:val="28"/>
          <w:szCs w:val="28"/>
        </w:rPr>
      </w:pPr>
      <w:r>
        <w:rPr>
          <w:rFonts w:hint="eastAsia"/>
          <w:sz w:val="28"/>
          <w:szCs w:val="28"/>
        </w:rPr>
        <w:t>2、合格的供应商</w:t>
      </w:r>
    </w:p>
    <w:p w14:paraId="0C62AE04">
      <w:pPr>
        <w:spacing w:line="500" w:lineRule="exact"/>
        <w:ind w:firstLine="480"/>
        <w:jc w:val="left"/>
        <w:rPr>
          <w:sz w:val="24"/>
          <w:szCs w:val="24"/>
        </w:rPr>
      </w:pPr>
      <w:r>
        <w:rPr>
          <w:rFonts w:hint="eastAsia"/>
          <w:sz w:val="24"/>
          <w:szCs w:val="24"/>
        </w:rPr>
        <w:t>2.1 满足磋商公告中申请人的资格要求的规定。</w:t>
      </w:r>
    </w:p>
    <w:p w14:paraId="6F22BB9D">
      <w:pPr>
        <w:spacing w:line="500" w:lineRule="exact"/>
        <w:ind w:firstLine="480"/>
        <w:jc w:val="left"/>
        <w:rPr>
          <w:sz w:val="24"/>
          <w:szCs w:val="24"/>
        </w:rPr>
      </w:pPr>
      <w:r>
        <w:rPr>
          <w:rFonts w:hint="eastAsia"/>
          <w:sz w:val="24"/>
          <w:szCs w:val="24"/>
        </w:rPr>
        <w:t>2.2 银行、保险、石油石化、电力、电信等特殊行业法人的分支机构（不具有独立的法人资格）参与本项目政府采购活动的，应当提供总公司出具的愿为其参与政府采购活动以及履约行为承担民事责任的承诺书（或授权书）。</w:t>
      </w:r>
    </w:p>
    <w:p w14:paraId="7106B2F5">
      <w:pPr>
        <w:spacing w:line="500" w:lineRule="exact"/>
        <w:ind w:firstLine="480"/>
        <w:jc w:val="left"/>
        <w:rPr>
          <w:sz w:val="24"/>
          <w:szCs w:val="24"/>
        </w:rPr>
      </w:pPr>
      <w:r>
        <w:rPr>
          <w:rFonts w:hint="eastAsia"/>
          <w:sz w:val="24"/>
          <w:szCs w:val="24"/>
        </w:rPr>
        <w:t>2.3 满足本磋商文件全部实质性要求和条件的规定。</w:t>
      </w:r>
    </w:p>
    <w:p w14:paraId="46503F68">
      <w:pPr>
        <w:spacing w:line="500" w:lineRule="exact"/>
        <w:ind w:firstLine="480"/>
        <w:jc w:val="left"/>
        <w:rPr>
          <w:sz w:val="24"/>
          <w:szCs w:val="24"/>
        </w:rPr>
      </w:pPr>
      <w:r>
        <w:rPr>
          <w:rFonts w:hint="eastAsia"/>
          <w:sz w:val="24"/>
          <w:szCs w:val="24"/>
        </w:rPr>
        <w:t>2.4 符合上述条件的供应商应承担参与磋商采购及履约过程应承担的全部责任与义务。</w:t>
      </w:r>
    </w:p>
    <w:p w14:paraId="27156150">
      <w:pPr>
        <w:pStyle w:val="4"/>
        <w:spacing w:before="0" w:after="0" w:line="360" w:lineRule="auto"/>
        <w:ind w:firstLine="562"/>
        <w:jc w:val="left"/>
        <w:rPr>
          <w:sz w:val="28"/>
          <w:szCs w:val="28"/>
        </w:rPr>
      </w:pPr>
      <w:r>
        <w:rPr>
          <w:rFonts w:hint="eastAsia"/>
          <w:sz w:val="28"/>
          <w:szCs w:val="28"/>
        </w:rPr>
        <w:t>3、适用法律</w:t>
      </w:r>
    </w:p>
    <w:p w14:paraId="59A019D4">
      <w:pPr>
        <w:spacing w:line="500" w:lineRule="exact"/>
        <w:ind w:firstLine="480"/>
        <w:jc w:val="left"/>
        <w:rPr>
          <w:sz w:val="24"/>
          <w:szCs w:val="24"/>
        </w:rPr>
      </w:pPr>
      <w:r>
        <w:rPr>
          <w:rFonts w:hint="eastAsia"/>
          <w:sz w:val="24"/>
          <w:szCs w:val="24"/>
        </w:rPr>
        <w:t>3.1 本次磋商采购及由此产生的合同受中华人民共和国有关的法律法规制约和保护。</w:t>
      </w:r>
    </w:p>
    <w:p w14:paraId="297BC4DC">
      <w:pPr>
        <w:pStyle w:val="4"/>
        <w:spacing w:before="0" w:after="0" w:line="360" w:lineRule="auto"/>
        <w:ind w:firstLine="562"/>
        <w:jc w:val="left"/>
        <w:rPr>
          <w:sz w:val="28"/>
          <w:szCs w:val="28"/>
        </w:rPr>
      </w:pPr>
      <w:r>
        <w:rPr>
          <w:rFonts w:hint="eastAsia"/>
          <w:sz w:val="28"/>
          <w:szCs w:val="28"/>
        </w:rPr>
        <w:t>4、磋商费用</w:t>
      </w:r>
    </w:p>
    <w:p w14:paraId="6335701A">
      <w:pPr>
        <w:spacing w:line="500" w:lineRule="exact"/>
        <w:ind w:firstLine="480"/>
        <w:jc w:val="left"/>
        <w:rPr>
          <w:sz w:val="24"/>
          <w:szCs w:val="24"/>
        </w:rPr>
      </w:pPr>
      <w:r>
        <w:rPr>
          <w:rFonts w:hint="eastAsia"/>
          <w:sz w:val="24"/>
          <w:szCs w:val="24"/>
        </w:rPr>
        <w:t>4.1 供应商应自行承担所有与参与磋商采购活动有关的费用，无论磋商采购过程中的做法和结果如何，采购人和代理机构在任何情况下均无义务和责任承担这些费用。</w:t>
      </w:r>
    </w:p>
    <w:p w14:paraId="4129C58F">
      <w:pPr>
        <w:spacing w:line="500" w:lineRule="exact"/>
        <w:ind w:firstLine="480"/>
        <w:jc w:val="left"/>
        <w:rPr>
          <w:sz w:val="24"/>
          <w:szCs w:val="24"/>
        </w:rPr>
      </w:pPr>
      <w:r>
        <w:rPr>
          <w:rFonts w:hint="eastAsia"/>
          <w:sz w:val="24"/>
          <w:szCs w:val="24"/>
        </w:rPr>
        <w:t>4.2 本次磋商采购代理服务费</w:t>
      </w:r>
      <w:r>
        <w:rPr>
          <w:rFonts w:hint="eastAsia" w:eastAsia="宋体"/>
          <w:sz w:val="24"/>
          <w:szCs w:val="24"/>
          <w:lang w:val="en-US" w:eastAsia="zh-CN"/>
        </w:rPr>
        <w:t>2400元</w:t>
      </w:r>
      <w:r>
        <w:rPr>
          <w:rFonts w:hint="eastAsia"/>
          <w:sz w:val="24"/>
          <w:szCs w:val="24"/>
        </w:rPr>
        <w:t>。以上费用均由</w:t>
      </w:r>
      <w:r>
        <w:rPr>
          <w:rFonts w:hint="eastAsia"/>
          <w:sz w:val="24"/>
          <w:szCs w:val="24"/>
          <w:lang w:val="en-US" w:eastAsia="zh-CN"/>
        </w:rPr>
        <w:t>成交</w:t>
      </w:r>
      <w:r>
        <w:rPr>
          <w:rFonts w:hint="eastAsia"/>
          <w:sz w:val="24"/>
          <w:szCs w:val="24"/>
        </w:rPr>
        <w:t>人在领取</w:t>
      </w:r>
      <w:r>
        <w:rPr>
          <w:rFonts w:hint="eastAsia"/>
          <w:sz w:val="24"/>
          <w:szCs w:val="24"/>
          <w:lang w:val="en-US" w:eastAsia="zh-CN"/>
        </w:rPr>
        <w:t>成交</w:t>
      </w:r>
      <w:r>
        <w:rPr>
          <w:rFonts w:hint="eastAsia"/>
          <w:sz w:val="24"/>
          <w:szCs w:val="24"/>
        </w:rPr>
        <w:t>通知书时一次性支付，支付方式：电汇，网银，现金。</w:t>
      </w:r>
    </w:p>
    <w:p w14:paraId="02DAC584">
      <w:pPr>
        <w:pStyle w:val="4"/>
        <w:spacing w:before="0" w:after="0" w:line="360" w:lineRule="auto"/>
        <w:ind w:firstLine="562"/>
        <w:jc w:val="left"/>
        <w:rPr>
          <w:sz w:val="28"/>
          <w:szCs w:val="28"/>
        </w:rPr>
      </w:pPr>
      <w:r>
        <w:rPr>
          <w:rFonts w:hint="eastAsia"/>
          <w:sz w:val="28"/>
          <w:szCs w:val="28"/>
        </w:rPr>
        <w:t>5、磋商文件的约束力</w:t>
      </w:r>
    </w:p>
    <w:p w14:paraId="7B9A3927">
      <w:pPr>
        <w:spacing w:line="500" w:lineRule="exact"/>
        <w:ind w:firstLine="480"/>
        <w:jc w:val="left"/>
        <w:rPr>
          <w:sz w:val="24"/>
          <w:szCs w:val="24"/>
        </w:rPr>
      </w:pPr>
      <w:r>
        <w:rPr>
          <w:rFonts w:hint="eastAsia"/>
          <w:sz w:val="24"/>
          <w:szCs w:val="24"/>
        </w:rPr>
        <w:t>5.1 供应商一旦参与本项目采购活动，即被认为接受了本磋商文件的规定和约束。</w:t>
      </w:r>
    </w:p>
    <w:p w14:paraId="5A21DE78">
      <w:pPr>
        <w:pStyle w:val="3"/>
        <w:spacing w:before="0" w:after="0" w:line="360" w:lineRule="auto"/>
        <w:rPr>
          <w:rFonts w:ascii="黑体" w:hAnsi="黑体" w:eastAsia="黑体"/>
          <w:b w:val="0"/>
        </w:rPr>
      </w:pPr>
      <w:r>
        <w:rPr>
          <w:rFonts w:hint="eastAsia" w:ascii="黑体" w:hAnsi="黑体" w:eastAsia="黑体"/>
          <w:b w:val="0"/>
        </w:rPr>
        <w:t>二、磋商文件</w:t>
      </w:r>
    </w:p>
    <w:p w14:paraId="7F7FB2E5">
      <w:pPr>
        <w:pStyle w:val="4"/>
        <w:spacing w:before="0" w:after="0" w:line="360" w:lineRule="auto"/>
        <w:ind w:firstLine="562"/>
        <w:jc w:val="left"/>
        <w:rPr>
          <w:sz w:val="28"/>
          <w:szCs w:val="28"/>
        </w:rPr>
      </w:pPr>
      <w:r>
        <w:rPr>
          <w:rFonts w:hint="eastAsia"/>
          <w:sz w:val="28"/>
          <w:szCs w:val="28"/>
        </w:rPr>
        <w:t>6、磋商文件的构成</w:t>
      </w:r>
    </w:p>
    <w:p w14:paraId="47F6C929">
      <w:pPr>
        <w:spacing w:line="500" w:lineRule="exact"/>
        <w:ind w:firstLine="480"/>
        <w:jc w:val="left"/>
        <w:rPr>
          <w:sz w:val="24"/>
          <w:szCs w:val="24"/>
        </w:rPr>
      </w:pPr>
      <w:r>
        <w:rPr>
          <w:rFonts w:hint="eastAsia"/>
          <w:sz w:val="24"/>
          <w:szCs w:val="24"/>
        </w:rPr>
        <w:t>6.1 磋商文件由以下部分构成：</w:t>
      </w:r>
    </w:p>
    <w:p w14:paraId="1FD15CE0">
      <w:pPr>
        <w:spacing w:line="500" w:lineRule="exact"/>
        <w:ind w:firstLine="480"/>
        <w:jc w:val="left"/>
        <w:rPr>
          <w:rFonts w:hint="eastAsia" w:eastAsiaTheme="minorEastAsia"/>
          <w:sz w:val="24"/>
          <w:szCs w:val="24"/>
          <w:lang w:eastAsia="zh-CN"/>
        </w:rPr>
      </w:pPr>
      <w:r>
        <w:rPr>
          <w:rFonts w:hint="eastAsia"/>
          <w:sz w:val="24"/>
          <w:szCs w:val="24"/>
        </w:rPr>
        <w:t>（1）</w:t>
      </w:r>
      <w:r>
        <w:rPr>
          <w:rFonts w:hint="eastAsia"/>
          <w:sz w:val="24"/>
          <w:szCs w:val="24"/>
          <w:lang w:eastAsia="zh-CN"/>
        </w:rPr>
        <w:t>竞争性磋商公告</w:t>
      </w:r>
    </w:p>
    <w:p w14:paraId="39322BA7">
      <w:pPr>
        <w:spacing w:line="500" w:lineRule="exact"/>
        <w:ind w:firstLine="480"/>
        <w:jc w:val="left"/>
        <w:rPr>
          <w:sz w:val="24"/>
          <w:szCs w:val="24"/>
        </w:rPr>
      </w:pPr>
      <w:r>
        <w:rPr>
          <w:rFonts w:hint="eastAsia"/>
          <w:sz w:val="24"/>
          <w:szCs w:val="24"/>
        </w:rPr>
        <w:t>（2）供应商须知</w:t>
      </w:r>
    </w:p>
    <w:p w14:paraId="0566819F">
      <w:pPr>
        <w:spacing w:line="500" w:lineRule="exact"/>
        <w:ind w:firstLine="480"/>
        <w:jc w:val="left"/>
        <w:rPr>
          <w:sz w:val="24"/>
          <w:szCs w:val="24"/>
        </w:rPr>
      </w:pPr>
      <w:r>
        <w:rPr>
          <w:rFonts w:hint="eastAsia"/>
          <w:sz w:val="24"/>
          <w:szCs w:val="24"/>
        </w:rPr>
        <w:t>（3）合同文本</w:t>
      </w:r>
    </w:p>
    <w:p w14:paraId="0CBA7E63">
      <w:pPr>
        <w:spacing w:line="500" w:lineRule="exact"/>
        <w:ind w:firstLine="480"/>
        <w:jc w:val="left"/>
        <w:rPr>
          <w:sz w:val="24"/>
          <w:szCs w:val="24"/>
        </w:rPr>
      </w:pPr>
      <w:r>
        <w:rPr>
          <w:rFonts w:hint="eastAsia"/>
          <w:sz w:val="24"/>
          <w:szCs w:val="24"/>
        </w:rPr>
        <w:t>（4）采购需求</w:t>
      </w:r>
    </w:p>
    <w:p w14:paraId="2EA704E2">
      <w:pPr>
        <w:spacing w:line="500" w:lineRule="exact"/>
        <w:ind w:firstLine="480"/>
        <w:jc w:val="left"/>
        <w:rPr>
          <w:sz w:val="24"/>
          <w:szCs w:val="24"/>
        </w:rPr>
      </w:pPr>
      <w:r>
        <w:rPr>
          <w:rFonts w:hint="eastAsia"/>
          <w:sz w:val="24"/>
          <w:szCs w:val="24"/>
        </w:rPr>
        <w:t>（5）评审方法与评审标准</w:t>
      </w:r>
    </w:p>
    <w:p w14:paraId="4CFF1D3B">
      <w:pPr>
        <w:spacing w:line="500" w:lineRule="exact"/>
        <w:ind w:firstLine="480"/>
        <w:jc w:val="left"/>
        <w:rPr>
          <w:sz w:val="24"/>
          <w:szCs w:val="24"/>
        </w:rPr>
      </w:pPr>
      <w:r>
        <w:rPr>
          <w:rFonts w:hint="eastAsia"/>
          <w:sz w:val="24"/>
          <w:szCs w:val="24"/>
        </w:rPr>
        <w:t>（6）响应文件格式</w:t>
      </w:r>
    </w:p>
    <w:p w14:paraId="57A71D67">
      <w:pPr>
        <w:spacing w:line="500" w:lineRule="exact"/>
        <w:ind w:firstLine="480"/>
        <w:jc w:val="left"/>
        <w:rPr>
          <w:sz w:val="24"/>
          <w:szCs w:val="24"/>
        </w:rPr>
      </w:pPr>
      <w:r>
        <w:rPr>
          <w:rFonts w:hint="eastAsia"/>
          <w:sz w:val="24"/>
          <w:szCs w:val="24"/>
        </w:rPr>
        <w:t>请仔细检查磋商文件是否齐全，如有缺漏请立即与代理机构联系解决。</w:t>
      </w:r>
    </w:p>
    <w:p w14:paraId="0D1143FC">
      <w:pPr>
        <w:pStyle w:val="4"/>
        <w:spacing w:before="0" w:after="0" w:line="360" w:lineRule="auto"/>
        <w:ind w:firstLine="562"/>
        <w:jc w:val="left"/>
        <w:rPr>
          <w:sz w:val="28"/>
          <w:szCs w:val="28"/>
        </w:rPr>
      </w:pPr>
      <w:r>
        <w:rPr>
          <w:rFonts w:hint="eastAsia"/>
          <w:sz w:val="28"/>
          <w:szCs w:val="28"/>
        </w:rPr>
        <w:t>7、磋商文件的澄清</w:t>
      </w:r>
    </w:p>
    <w:p w14:paraId="13039B87">
      <w:pPr>
        <w:spacing w:line="500" w:lineRule="exact"/>
        <w:ind w:firstLine="480"/>
        <w:jc w:val="left"/>
        <w:rPr>
          <w:sz w:val="24"/>
          <w:szCs w:val="24"/>
        </w:rPr>
      </w:pPr>
      <w:r>
        <w:rPr>
          <w:rFonts w:hint="eastAsia"/>
          <w:sz w:val="24"/>
          <w:szCs w:val="24"/>
        </w:rPr>
        <w:t>7.1 任何要求对磋商文件进行澄清的供应商，应在提交响应文件截止时间五日前按磋商公告中的通讯地址，以书面形式通知采购人或者代理机构。</w:t>
      </w:r>
    </w:p>
    <w:p w14:paraId="07839F2D">
      <w:pPr>
        <w:pStyle w:val="4"/>
        <w:spacing w:before="0" w:after="0" w:line="360" w:lineRule="auto"/>
        <w:ind w:firstLine="562"/>
        <w:jc w:val="left"/>
        <w:rPr>
          <w:sz w:val="28"/>
          <w:szCs w:val="28"/>
        </w:rPr>
      </w:pPr>
      <w:r>
        <w:rPr>
          <w:rFonts w:hint="eastAsia"/>
          <w:sz w:val="28"/>
          <w:szCs w:val="28"/>
        </w:rPr>
        <w:t>8、磋商文件的修改</w:t>
      </w:r>
    </w:p>
    <w:p w14:paraId="3061F34F">
      <w:pPr>
        <w:spacing w:line="500" w:lineRule="exact"/>
        <w:ind w:firstLine="480"/>
        <w:jc w:val="left"/>
        <w:rPr>
          <w:sz w:val="24"/>
          <w:szCs w:val="24"/>
        </w:rPr>
      </w:pPr>
      <w:r>
        <w:rPr>
          <w:rFonts w:hint="eastAsia"/>
          <w:sz w:val="24"/>
          <w:szCs w:val="24"/>
        </w:rPr>
        <w:t>8.1 在响应文件提交截止时间前，采购人和代理机构可以对磋商文件进行修改。</w:t>
      </w:r>
    </w:p>
    <w:p w14:paraId="200E44EB">
      <w:pPr>
        <w:spacing w:line="500" w:lineRule="exact"/>
        <w:ind w:firstLine="480"/>
        <w:jc w:val="left"/>
        <w:rPr>
          <w:sz w:val="24"/>
          <w:szCs w:val="24"/>
        </w:rPr>
      </w:pPr>
      <w:r>
        <w:rPr>
          <w:rFonts w:hint="eastAsia"/>
          <w:sz w:val="24"/>
          <w:szCs w:val="24"/>
        </w:rPr>
        <w:t>8.2 采购人和代理机构有权按照法定的要求推迟提交响应文件截止时间和开启时间。</w:t>
      </w:r>
    </w:p>
    <w:p w14:paraId="728ADE63">
      <w:pPr>
        <w:spacing w:line="500" w:lineRule="exact"/>
        <w:ind w:firstLine="480"/>
        <w:jc w:val="left"/>
        <w:rPr>
          <w:sz w:val="24"/>
          <w:szCs w:val="24"/>
        </w:rPr>
      </w:pPr>
      <w:r>
        <w:rPr>
          <w:rFonts w:hint="eastAsia"/>
          <w:sz w:val="24"/>
          <w:szCs w:val="24"/>
        </w:rPr>
        <w:t>8.3 磋商文件的修改将在</w:t>
      </w:r>
      <w:r>
        <w:rPr>
          <w:rFonts w:hint="eastAsia"/>
          <w:sz w:val="24"/>
          <w:szCs w:val="24"/>
          <w:lang w:eastAsia="zh-CN"/>
        </w:rPr>
        <w:t>江苏招标采购公共服务平台</w:t>
      </w:r>
      <w:r>
        <w:rPr>
          <w:rFonts w:hint="eastAsia"/>
          <w:sz w:val="24"/>
          <w:szCs w:val="24"/>
        </w:rPr>
        <w:t>公布，补充文件将作为磋商文件的组成部分，并对供应商具有约束力。</w:t>
      </w:r>
    </w:p>
    <w:p w14:paraId="4168A863">
      <w:pPr>
        <w:pStyle w:val="3"/>
        <w:spacing w:before="0" w:after="0" w:line="360" w:lineRule="auto"/>
        <w:rPr>
          <w:rFonts w:ascii="黑体" w:hAnsi="黑体" w:eastAsia="黑体"/>
          <w:b w:val="0"/>
        </w:rPr>
      </w:pPr>
      <w:r>
        <w:rPr>
          <w:rFonts w:hint="eastAsia" w:ascii="黑体" w:hAnsi="黑体" w:eastAsia="黑体"/>
          <w:b w:val="0"/>
        </w:rPr>
        <w:t>三、响应文件编制</w:t>
      </w:r>
    </w:p>
    <w:p w14:paraId="0AACF036">
      <w:pPr>
        <w:pStyle w:val="4"/>
        <w:spacing w:before="0" w:after="0" w:line="360" w:lineRule="auto"/>
        <w:ind w:firstLine="562"/>
        <w:jc w:val="left"/>
        <w:rPr>
          <w:sz w:val="28"/>
          <w:szCs w:val="28"/>
        </w:rPr>
      </w:pPr>
      <w:r>
        <w:rPr>
          <w:rFonts w:hint="eastAsia"/>
          <w:sz w:val="28"/>
          <w:szCs w:val="28"/>
        </w:rPr>
        <w:t>9、响应文件编写注意事项</w:t>
      </w:r>
    </w:p>
    <w:p w14:paraId="0A67DE43">
      <w:pPr>
        <w:spacing w:line="500" w:lineRule="exact"/>
        <w:ind w:firstLine="480"/>
        <w:jc w:val="left"/>
        <w:rPr>
          <w:sz w:val="24"/>
          <w:szCs w:val="24"/>
        </w:rPr>
      </w:pPr>
      <w:r>
        <w:rPr>
          <w:rFonts w:hint="eastAsia"/>
          <w:sz w:val="24"/>
          <w:szCs w:val="24"/>
        </w:rPr>
        <w:t>9.1 供应商应当仔细阅读磋商文件中所有的事项、格式、条款和规范等要求，在完全了解采购内容、技术性能要求和商务条件后，按照磋商文件的要求编制响应文件。响应文件应当对磋商文件提出的要求和条件作出明确响应，并保证所提供的全部资料的真实性，否则作无效响应处理。</w:t>
      </w:r>
    </w:p>
    <w:p w14:paraId="69523526">
      <w:pPr>
        <w:spacing w:line="500" w:lineRule="exact"/>
        <w:ind w:firstLine="480"/>
        <w:jc w:val="left"/>
        <w:rPr>
          <w:sz w:val="24"/>
          <w:szCs w:val="24"/>
        </w:rPr>
      </w:pPr>
      <w:r>
        <w:rPr>
          <w:rFonts w:hint="eastAsia"/>
          <w:sz w:val="24"/>
          <w:szCs w:val="24"/>
        </w:rPr>
        <w:t>9.2 对磋商文件提出的实质性要求和条件作出响应是指供应商必须对磋商文件中标明实质性要求和条件的技术参数及性能配置、数量、价格、售后服务、合同主要条款及其它要求等内容逐条作出满足原要求和条件的响应。</w:t>
      </w:r>
    </w:p>
    <w:p w14:paraId="1A6F72B6">
      <w:pPr>
        <w:pStyle w:val="4"/>
        <w:spacing w:before="0" w:after="0" w:line="360" w:lineRule="auto"/>
        <w:ind w:firstLine="562"/>
        <w:jc w:val="left"/>
        <w:rPr>
          <w:sz w:val="28"/>
          <w:szCs w:val="28"/>
        </w:rPr>
      </w:pPr>
      <w:r>
        <w:rPr>
          <w:rFonts w:hint="eastAsia"/>
          <w:sz w:val="28"/>
          <w:szCs w:val="28"/>
        </w:rPr>
        <w:t>10、响应文件的语言及度量衡单位</w:t>
      </w:r>
    </w:p>
    <w:p w14:paraId="73E8363C">
      <w:pPr>
        <w:spacing w:line="500" w:lineRule="exact"/>
        <w:ind w:firstLine="480"/>
        <w:jc w:val="left"/>
        <w:rPr>
          <w:sz w:val="24"/>
          <w:szCs w:val="24"/>
        </w:rPr>
      </w:pPr>
      <w:r>
        <w:rPr>
          <w:rFonts w:hint="eastAsia"/>
          <w:sz w:val="24"/>
          <w:szCs w:val="24"/>
        </w:rPr>
        <w:t>10.1 除专用术语外，供应商提交的响应文件以及供应商与采购人和代理机构就有关磋商采购活动的所有来往通知、函件和文件均应使用简体中文。必要时专用术语应附有中文解释。供应商提交的支持资料和已印制的文献可以使用外文，但相应内容应附有中文翻译本，在解释响应文件时以中文翻译本为准。未附中文翻译本或翻译本中文内容明显与外文内容不一致的，其不利后果由供应商自行承担。</w:t>
      </w:r>
    </w:p>
    <w:p w14:paraId="0E2848B7">
      <w:pPr>
        <w:spacing w:line="500" w:lineRule="exact"/>
        <w:ind w:firstLine="480"/>
        <w:jc w:val="left"/>
        <w:rPr>
          <w:sz w:val="24"/>
          <w:szCs w:val="24"/>
        </w:rPr>
      </w:pPr>
      <w:r>
        <w:rPr>
          <w:rFonts w:hint="eastAsia"/>
          <w:sz w:val="24"/>
          <w:szCs w:val="24"/>
        </w:rPr>
        <w:t>10.2 除技术性能另有规定外，响应文件所使用的度量衡单位，均须采用国家法定计量单位。</w:t>
      </w:r>
    </w:p>
    <w:p w14:paraId="4BF81422">
      <w:pPr>
        <w:pStyle w:val="4"/>
        <w:spacing w:before="0" w:after="0" w:line="360" w:lineRule="auto"/>
        <w:ind w:firstLine="562"/>
        <w:jc w:val="left"/>
        <w:rPr>
          <w:sz w:val="28"/>
          <w:szCs w:val="28"/>
        </w:rPr>
      </w:pPr>
      <w:r>
        <w:rPr>
          <w:rFonts w:hint="eastAsia"/>
          <w:sz w:val="28"/>
          <w:szCs w:val="28"/>
        </w:rPr>
        <w:t>11、响应文件的构成</w:t>
      </w:r>
    </w:p>
    <w:p w14:paraId="65F276E6">
      <w:pPr>
        <w:spacing w:line="500" w:lineRule="exact"/>
        <w:ind w:firstLine="480"/>
        <w:jc w:val="left"/>
        <w:rPr>
          <w:sz w:val="24"/>
          <w:szCs w:val="24"/>
        </w:rPr>
      </w:pPr>
      <w:r>
        <w:rPr>
          <w:rFonts w:hint="eastAsia"/>
          <w:sz w:val="24"/>
          <w:szCs w:val="24"/>
        </w:rPr>
        <w:t>11.1 供应商编写的响应文件应包括资格证明文件、符合性证明文件、分项报价表、技术要求响应及偏离表、商务要求响应及偏离表、其他证明文件、磋商响应函等部分。</w:t>
      </w:r>
    </w:p>
    <w:p w14:paraId="7CBCD55F">
      <w:pPr>
        <w:spacing w:line="500" w:lineRule="exact"/>
        <w:ind w:firstLine="480"/>
        <w:jc w:val="left"/>
        <w:rPr>
          <w:sz w:val="24"/>
          <w:szCs w:val="24"/>
        </w:rPr>
      </w:pPr>
      <w:r>
        <w:rPr>
          <w:rFonts w:hint="eastAsia"/>
          <w:sz w:val="24"/>
          <w:szCs w:val="24"/>
        </w:rPr>
        <w:t>11.</w:t>
      </w:r>
      <w:r>
        <w:rPr>
          <w:rFonts w:hint="eastAsia"/>
          <w:sz w:val="24"/>
          <w:szCs w:val="24"/>
          <w:lang w:val="en-US" w:eastAsia="zh-CN"/>
        </w:rPr>
        <w:t>2</w:t>
      </w:r>
      <w:r>
        <w:rPr>
          <w:rFonts w:hint="eastAsia"/>
          <w:sz w:val="24"/>
          <w:szCs w:val="24"/>
        </w:rPr>
        <w:t>特别提醒供应商，混乱的编排导致响应文件被误读或竞争性磋商小组（以下简称磋商小组）查找不到有效文件是供应商的风险。</w:t>
      </w:r>
    </w:p>
    <w:p w14:paraId="73447E3F">
      <w:pPr>
        <w:pStyle w:val="4"/>
        <w:spacing w:before="0" w:after="0" w:line="360" w:lineRule="auto"/>
        <w:ind w:firstLine="562"/>
        <w:jc w:val="left"/>
        <w:rPr>
          <w:sz w:val="28"/>
          <w:szCs w:val="28"/>
        </w:rPr>
      </w:pPr>
      <w:r>
        <w:rPr>
          <w:rFonts w:hint="eastAsia"/>
          <w:sz w:val="28"/>
          <w:szCs w:val="28"/>
        </w:rPr>
        <w:t>12、证明供应商及响应标的符合磋商文件规定的文件</w:t>
      </w:r>
    </w:p>
    <w:p w14:paraId="68E9C497">
      <w:pPr>
        <w:spacing w:line="500" w:lineRule="exact"/>
        <w:ind w:firstLine="480"/>
        <w:jc w:val="left"/>
        <w:rPr>
          <w:sz w:val="24"/>
          <w:szCs w:val="24"/>
        </w:rPr>
      </w:pPr>
      <w:r>
        <w:rPr>
          <w:rFonts w:hint="eastAsia"/>
          <w:sz w:val="24"/>
          <w:szCs w:val="24"/>
        </w:rPr>
        <w:t>12.1 供应商应按照磋商文件要求提交证明文件，证明其及响应标的符合磋商文件规定。</w:t>
      </w:r>
    </w:p>
    <w:p w14:paraId="0A317EDD">
      <w:pPr>
        <w:spacing w:line="500" w:lineRule="exact"/>
        <w:ind w:firstLine="480"/>
        <w:jc w:val="left"/>
        <w:rPr>
          <w:sz w:val="24"/>
          <w:szCs w:val="24"/>
        </w:rPr>
      </w:pPr>
      <w:r>
        <w:rPr>
          <w:rFonts w:hint="eastAsia"/>
          <w:sz w:val="24"/>
          <w:szCs w:val="24"/>
        </w:rPr>
        <w:t>12.2 磋商文件对证明文件无明确形式要求的，证明文件可以以文字资料、图纸和数据等形式提交。</w:t>
      </w:r>
    </w:p>
    <w:p w14:paraId="062CCF5B">
      <w:pPr>
        <w:spacing w:line="500" w:lineRule="exact"/>
        <w:ind w:firstLine="480"/>
        <w:jc w:val="left"/>
        <w:rPr>
          <w:sz w:val="24"/>
          <w:szCs w:val="24"/>
        </w:rPr>
      </w:pPr>
      <w:r>
        <w:rPr>
          <w:rFonts w:hint="eastAsia"/>
          <w:sz w:val="24"/>
          <w:szCs w:val="24"/>
        </w:rPr>
        <w:t>12.3 供应商委托代理时应当提交授权委托书，请按磋商文件第六章给定格式及要求填写并附法定代表人（单位负责人）与委托代理人身份证明。</w:t>
      </w:r>
    </w:p>
    <w:p w14:paraId="23A9C4BE">
      <w:pPr>
        <w:pStyle w:val="4"/>
        <w:spacing w:before="0" w:after="0" w:line="360" w:lineRule="auto"/>
        <w:ind w:firstLine="562"/>
        <w:jc w:val="left"/>
      </w:pPr>
      <w:r>
        <w:rPr>
          <w:rFonts w:hint="eastAsia"/>
          <w:sz w:val="28"/>
          <w:szCs w:val="28"/>
        </w:rPr>
        <w:t>13、分项报价表</w:t>
      </w:r>
    </w:p>
    <w:p w14:paraId="05C82DFA">
      <w:pPr>
        <w:spacing w:line="500" w:lineRule="exact"/>
        <w:ind w:firstLine="480"/>
        <w:jc w:val="left"/>
        <w:rPr>
          <w:sz w:val="24"/>
          <w:szCs w:val="24"/>
        </w:rPr>
      </w:pPr>
      <w:r>
        <w:rPr>
          <w:rFonts w:hint="eastAsia"/>
          <w:sz w:val="24"/>
          <w:szCs w:val="24"/>
        </w:rPr>
        <w:t>13.1 供应商应根据响应报价要求在分项报价表中列明各项单价、总价等，未全部列示的作无效响应处理。</w:t>
      </w:r>
    </w:p>
    <w:p w14:paraId="359E8B72">
      <w:pPr>
        <w:spacing w:line="500" w:lineRule="exact"/>
        <w:ind w:firstLine="480"/>
        <w:jc w:val="left"/>
        <w:rPr>
          <w:sz w:val="24"/>
          <w:szCs w:val="24"/>
        </w:rPr>
      </w:pPr>
      <w:r>
        <w:rPr>
          <w:rFonts w:hint="eastAsia"/>
          <w:sz w:val="24"/>
          <w:szCs w:val="24"/>
        </w:rPr>
        <w:t>13.2 响应文件中的单价和总价无特殊规定的采用人民币报价，以元为单位标注。磋商文件中另有规定的按规定执行。</w:t>
      </w:r>
    </w:p>
    <w:p w14:paraId="3390B1F2">
      <w:pPr>
        <w:pStyle w:val="4"/>
        <w:spacing w:before="0" w:after="0" w:line="360" w:lineRule="auto"/>
        <w:ind w:firstLine="562"/>
        <w:jc w:val="left"/>
        <w:rPr>
          <w:sz w:val="28"/>
          <w:szCs w:val="28"/>
        </w:rPr>
      </w:pPr>
      <w:r>
        <w:rPr>
          <w:rFonts w:hint="eastAsia"/>
          <w:sz w:val="28"/>
          <w:szCs w:val="28"/>
        </w:rPr>
        <w:t>14、技术要求响应及偏离表、商务要求响应及偏离表</w:t>
      </w:r>
    </w:p>
    <w:p w14:paraId="76D5CF84">
      <w:pPr>
        <w:spacing w:line="500" w:lineRule="exact"/>
        <w:ind w:firstLine="480"/>
        <w:jc w:val="left"/>
        <w:rPr>
          <w:sz w:val="24"/>
          <w:szCs w:val="24"/>
        </w:rPr>
      </w:pPr>
      <w:r>
        <w:rPr>
          <w:rFonts w:hint="eastAsia"/>
          <w:sz w:val="24"/>
          <w:szCs w:val="24"/>
        </w:rPr>
        <w:t>14.1 技术要求是指对采购标的的功能和质量要求，包括性能、材料、结构、外观、安全，或者服务内容和标准等。商务要求是指取得采购标的的时间、地点、财务和服务要求，包括交付（实施）的时间（期限）和地点（范围），付款条件（进度和方式），包装和运输，售后服务，保险等。供应商应对磋商文件中的技术要求与商务要求逐项作出响应或偏离。</w:t>
      </w:r>
    </w:p>
    <w:p w14:paraId="68B0B74C">
      <w:pPr>
        <w:spacing w:line="500" w:lineRule="exact"/>
        <w:ind w:firstLine="480"/>
        <w:jc w:val="left"/>
        <w:rPr>
          <w:sz w:val="24"/>
          <w:szCs w:val="24"/>
        </w:rPr>
      </w:pPr>
      <w:r>
        <w:rPr>
          <w:rFonts w:hint="eastAsia"/>
          <w:sz w:val="24"/>
          <w:szCs w:val="24"/>
        </w:rPr>
        <w:t>14.2 供应商可在响应文件中提供认为需要的其他技术文件或说明。</w:t>
      </w:r>
    </w:p>
    <w:p w14:paraId="7BEFE3F4">
      <w:pPr>
        <w:pStyle w:val="4"/>
        <w:spacing w:before="0" w:after="0" w:line="360" w:lineRule="auto"/>
        <w:ind w:firstLine="562"/>
        <w:jc w:val="left"/>
        <w:rPr>
          <w:sz w:val="28"/>
          <w:szCs w:val="28"/>
        </w:rPr>
      </w:pPr>
      <w:r>
        <w:rPr>
          <w:rFonts w:hint="eastAsia"/>
          <w:sz w:val="28"/>
          <w:szCs w:val="28"/>
        </w:rPr>
        <w:t>15、服务承诺、培训计划、人员安排及其他</w:t>
      </w:r>
    </w:p>
    <w:p w14:paraId="350C348E">
      <w:pPr>
        <w:spacing w:line="500" w:lineRule="exact"/>
        <w:ind w:firstLine="480"/>
        <w:jc w:val="left"/>
        <w:rPr>
          <w:sz w:val="24"/>
          <w:szCs w:val="24"/>
        </w:rPr>
      </w:pPr>
      <w:r>
        <w:rPr>
          <w:rFonts w:hint="eastAsia"/>
          <w:sz w:val="24"/>
          <w:szCs w:val="24"/>
        </w:rPr>
        <w:t>15.1 供应商应根据磋商文件要求提供有关售后服务的管理制度，售后服务机构的分布情况，售后服务人员的数量、素质、技术水平及售后服务的反应能力等。</w:t>
      </w:r>
    </w:p>
    <w:p w14:paraId="4C1BEBB1">
      <w:pPr>
        <w:spacing w:line="500" w:lineRule="exact"/>
        <w:ind w:firstLine="480"/>
        <w:jc w:val="left"/>
        <w:rPr>
          <w:sz w:val="24"/>
          <w:szCs w:val="24"/>
        </w:rPr>
      </w:pPr>
      <w:r>
        <w:rPr>
          <w:rFonts w:hint="eastAsia"/>
          <w:sz w:val="24"/>
          <w:szCs w:val="24"/>
        </w:rPr>
        <w:t>15.2 供应商应根据磋商文件要求提供培训计划、人员安排等。</w:t>
      </w:r>
    </w:p>
    <w:p w14:paraId="149CEF03">
      <w:pPr>
        <w:spacing w:line="500" w:lineRule="exact"/>
        <w:ind w:firstLine="480"/>
        <w:jc w:val="left"/>
        <w:rPr>
          <w:sz w:val="24"/>
          <w:szCs w:val="24"/>
        </w:rPr>
      </w:pPr>
      <w:r>
        <w:rPr>
          <w:rFonts w:hint="eastAsia"/>
          <w:sz w:val="24"/>
          <w:szCs w:val="24"/>
        </w:rPr>
        <w:t>15.3 供应商应根据磋商文件要求提供响应标的的主要组成部分、功能设计、实现思路及关键技术等。</w:t>
      </w:r>
    </w:p>
    <w:p w14:paraId="3763EB60">
      <w:pPr>
        <w:pStyle w:val="4"/>
        <w:spacing w:before="0" w:after="0" w:line="360" w:lineRule="auto"/>
        <w:ind w:firstLine="562"/>
        <w:jc w:val="left"/>
        <w:rPr>
          <w:sz w:val="28"/>
          <w:szCs w:val="28"/>
        </w:rPr>
      </w:pPr>
      <w:r>
        <w:rPr>
          <w:rFonts w:hint="eastAsia"/>
          <w:sz w:val="28"/>
          <w:szCs w:val="28"/>
        </w:rPr>
        <w:t>16、磋商响应函</w:t>
      </w:r>
    </w:p>
    <w:p w14:paraId="49EE317D">
      <w:pPr>
        <w:spacing w:line="500" w:lineRule="exact"/>
        <w:ind w:firstLine="480"/>
        <w:jc w:val="left"/>
        <w:rPr>
          <w:sz w:val="24"/>
          <w:szCs w:val="24"/>
        </w:rPr>
      </w:pPr>
      <w:r>
        <w:rPr>
          <w:rFonts w:hint="eastAsia"/>
          <w:sz w:val="24"/>
          <w:szCs w:val="24"/>
        </w:rPr>
        <w:t>16.1 供应商应按照磋商文件提供的格式完整、正确填写磋商响应函。</w:t>
      </w:r>
    </w:p>
    <w:p w14:paraId="13E3448F">
      <w:pPr>
        <w:pStyle w:val="4"/>
        <w:spacing w:before="0" w:after="0" w:line="360" w:lineRule="auto"/>
        <w:ind w:firstLine="562"/>
        <w:jc w:val="left"/>
        <w:rPr>
          <w:sz w:val="28"/>
          <w:szCs w:val="28"/>
        </w:rPr>
      </w:pPr>
      <w:r>
        <w:rPr>
          <w:rFonts w:hint="eastAsia"/>
          <w:sz w:val="28"/>
          <w:szCs w:val="28"/>
        </w:rPr>
        <w:t>17、磋商有效期</w:t>
      </w:r>
    </w:p>
    <w:p w14:paraId="1BF0A4B8">
      <w:pPr>
        <w:spacing w:line="500" w:lineRule="exact"/>
        <w:ind w:firstLine="480"/>
        <w:jc w:val="left"/>
        <w:rPr>
          <w:sz w:val="24"/>
          <w:szCs w:val="24"/>
        </w:rPr>
      </w:pPr>
      <w:r>
        <w:rPr>
          <w:rFonts w:hint="eastAsia"/>
          <w:sz w:val="24"/>
          <w:szCs w:val="24"/>
        </w:rPr>
        <w:t>17.1 磋商有效期为磋商文件规定的开启之日后六十（60）天。磋商有效期比规定短的将被视为未实质性响应磋商文件而予以拒绝。</w:t>
      </w:r>
    </w:p>
    <w:p w14:paraId="45653E76">
      <w:pPr>
        <w:spacing w:line="500" w:lineRule="exact"/>
        <w:ind w:firstLine="480"/>
        <w:jc w:val="left"/>
        <w:rPr>
          <w:sz w:val="24"/>
          <w:szCs w:val="24"/>
        </w:rPr>
      </w:pPr>
      <w:r>
        <w:rPr>
          <w:rFonts w:hint="eastAsia"/>
          <w:sz w:val="24"/>
          <w:szCs w:val="24"/>
        </w:rPr>
        <w:t>17.2 在特殊情况下，代理机构于原磋商有效期满之前，可向供应商提出延长磋商有效期的要求。这种要求与答复均应采用书面形式。供应商可以拒绝代理机构的这一要求而放弃磋商响应，同意延长磋商有效期的供应商既不能要求也不允许修改其响应文件。受磋商有效期约束的所有权利与义务均延长至新的有效期。</w:t>
      </w:r>
    </w:p>
    <w:p w14:paraId="25FD162E">
      <w:pPr>
        <w:pStyle w:val="3"/>
        <w:spacing w:before="0" w:after="0" w:line="360" w:lineRule="auto"/>
        <w:rPr>
          <w:rFonts w:ascii="黑体" w:hAnsi="黑体" w:eastAsia="黑体"/>
          <w:b w:val="0"/>
        </w:rPr>
      </w:pPr>
      <w:r>
        <w:rPr>
          <w:rFonts w:hint="eastAsia" w:ascii="黑体" w:hAnsi="黑体" w:eastAsia="黑体"/>
          <w:b w:val="0"/>
        </w:rPr>
        <w:t>四、响应文件提交</w:t>
      </w:r>
    </w:p>
    <w:p w14:paraId="4AC3EC58">
      <w:pPr>
        <w:pStyle w:val="4"/>
        <w:spacing w:before="0" w:after="0" w:line="360" w:lineRule="auto"/>
        <w:ind w:firstLine="562"/>
        <w:jc w:val="left"/>
        <w:rPr>
          <w:sz w:val="28"/>
          <w:szCs w:val="28"/>
        </w:rPr>
      </w:pPr>
      <w:r>
        <w:rPr>
          <w:rFonts w:hint="eastAsia"/>
          <w:sz w:val="28"/>
          <w:szCs w:val="28"/>
        </w:rPr>
        <w:t>18、响应文件的提交</w:t>
      </w:r>
    </w:p>
    <w:p w14:paraId="2A818D29">
      <w:pPr>
        <w:spacing w:line="500" w:lineRule="exact"/>
        <w:ind w:firstLine="480" w:firstLineChars="200"/>
        <w:jc w:val="left"/>
        <w:rPr>
          <w:sz w:val="24"/>
          <w:szCs w:val="24"/>
        </w:rPr>
      </w:pPr>
      <w:r>
        <w:rPr>
          <w:rFonts w:hint="eastAsia"/>
          <w:sz w:val="24"/>
          <w:szCs w:val="24"/>
        </w:rPr>
        <w:t>18.1供应商应当在投标截止时间前制作并递交响应文件。</w:t>
      </w:r>
    </w:p>
    <w:p w14:paraId="31E47621">
      <w:pPr>
        <w:spacing w:line="500" w:lineRule="exact"/>
        <w:ind w:firstLine="480" w:firstLineChars="200"/>
        <w:jc w:val="left"/>
        <w:rPr>
          <w:sz w:val="24"/>
          <w:szCs w:val="24"/>
        </w:rPr>
      </w:pPr>
      <w:r>
        <w:rPr>
          <w:rFonts w:hint="eastAsia"/>
          <w:sz w:val="24"/>
          <w:szCs w:val="24"/>
          <w:highlight w:val="none"/>
        </w:rPr>
        <w:t>18.2 供应商须提供书面响应文件一正二副,电子版响应文件一份（U盘）。正本与副本应分别装订成册。除特别说明外，投标文件均使用 A4 规格纸装订，均使用无线胶装方式装订，不得采用活页夹等可随时拆换的方式装订。</w:t>
      </w:r>
      <w:r>
        <w:rPr>
          <w:rFonts w:hint="eastAsia"/>
          <w:sz w:val="24"/>
          <w:szCs w:val="24"/>
        </w:rPr>
        <w:t>每份响应文件须清楚地标明“正本”或“副本”字样。一旦正本与副本不符，以正本为准。供应商应将响应文件正本和所有副本密封。供应商未按响应文件中规定的正本和副本的数量提交响应文件，按无效响应处理。</w:t>
      </w:r>
    </w:p>
    <w:p w14:paraId="3BF8DCB5">
      <w:pPr>
        <w:spacing w:line="500" w:lineRule="exact"/>
        <w:ind w:firstLine="480" w:firstLineChars="200"/>
        <w:jc w:val="left"/>
        <w:rPr>
          <w:sz w:val="24"/>
          <w:szCs w:val="24"/>
        </w:rPr>
      </w:pPr>
      <w:r>
        <w:rPr>
          <w:rFonts w:hint="eastAsia"/>
          <w:sz w:val="24"/>
          <w:szCs w:val="24"/>
        </w:rPr>
        <w:t>18.3密封的响应文件应：(未按要求密封和加写标记的响应文件将不予接收)</w:t>
      </w:r>
    </w:p>
    <w:p w14:paraId="1B6DB198">
      <w:pPr>
        <w:spacing w:line="500" w:lineRule="exact"/>
        <w:ind w:firstLine="480" w:firstLineChars="200"/>
        <w:jc w:val="left"/>
        <w:rPr>
          <w:sz w:val="24"/>
          <w:szCs w:val="24"/>
        </w:rPr>
      </w:pPr>
      <w:r>
        <w:rPr>
          <w:rFonts w:hint="eastAsia"/>
          <w:sz w:val="24"/>
          <w:szCs w:val="24"/>
        </w:rPr>
        <w:t>(1)按竞争性磋商公告中注明的地址送达规定地点；</w:t>
      </w:r>
    </w:p>
    <w:p w14:paraId="55D42058">
      <w:pPr>
        <w:spacing w:line="500" w:lineRule="exact"/>
        <w:ind w:firstLine="480" w:firstLineChars="200"/>
        <w:jc w:val="left"/>
        <w:rPr>
          <w:sz w:val="24"/>
          <w:szCs w:val="24"/>
        </w:rPr>
      </w:pPr>
      <w:r>
        <w:rPr>
          <w:rFonts w:hint="eastAsia"/>
          <w:sz w:val="24"/>
          <w:szCs w:val="24"/>
        </w:rPr>
        <w:t>(2)密封包装上应注明参加响应项目名称、项目文件编号及参加的项目编号；</w:t>
      </w:r>
    </w:p>
    <w:p w14:paraId="74B18A2B">
      <w:pPr>
        <w:spacing w:line="500" w:lineRule="exact"/>
        <w:ind w:firstLine="480" w:firstLineChars="200"/>
        <w:jc w:val="left"/>
        <w:rPr>
          <w:sz w:val="24"/>
          <w:szCs w:val="24"/>
        </w:rPr>
      </w:pPr>
      <w:r>
        <w:rPr>
          <w:rFonts w:hint="eastAsia"/>
          <w:sz w:val="24"/>
          <w:szCs w:val="24"/>
        </w:rPr>
        <w:t>(3)密封包装上应写注明供应商名称、法定代表人、授权委托人信息，并在密封包装上加盖公章，否则采购代理机构有权拒收响应文件。</w:t>
      </w:r>
    </w:p>
    <w:p w14:paraId="1DC35BCB">
      <w:pPr>
        <w:spacing w:line="500" w:lineRule="exact"/>
        <w:ind w:firstLine="480" w:firstLineChars="200"/>
        <w:jc w:val="left"/>
        <w:rPr>
          <w:sz w:val="24"/>
          <w:szCs w:val="24"/>
        </w:rPr>
      </w:pPr>
      <w:r>
        <w:rPr>
          <w:rFonts w:hint="eastAsia"/>
          <w:sz w:val="24"/>
          <w:szCs w:val="24"/>
        </w:rPr>
        <w:t>如果密封包装未按要求密封和加写标记，采购代理机构对误投或过早启封概不负责。对由此造成提前开封的响应文件，采购代理机构将予以拒绝，作无效响应处理。</w:t>
      </w:r>
    </w:p>
    <w:p w14:paraId="6B0688F9">
      <w:pPr>
        <w:pStyle w:val="4"/>
        <w:spacing w:before="0" w:after="0" w:line="360" w:lineRule="auto"/>
        <w:ind w:firstLine="562"/>
        <w:jc w:val="left"/>
        <w:rPr>
          <w:sz w:val="28"/>
          <w:szCs w:val="28"/>
        </w:rPr>
      </w:pPr>
      <w:r>
        <w:rPr>
          <w:rFonts w:hint="eastAsia"/>
          <w:sz w:val="28"/>
          <w:szCs w:val="28"/>
        </w:rPr>
        <w:t>19、提交响应文件截止时间</w:t>
      </w:r>
    </w:p>
    <w:p w14:paraId="47FD86AE">
      <w:pPr>
        <w:spacing w:line="500" w:lineRule="exact"/>
        <w:ind w:firstLine="480" w:firstLineChars="200"/>
        <w:jc w:val="left"/>
        <w:rPr>
          <w:sz w:val="24"/>
          <w:szCs w:val="24"/>
        </w:rPr>
      </w:pPr>
      <w:r>
        <w:rPr>
          <w:rFonts w:hint="eastAsia"/>
          <w:sz w:val="24"/>
          <w:szCs w:val="24"/>
        </w:rPr>
        <w:t>19.1 供应商递交响应文件的时间不得迟于竞争性磋商公告中规定的投标截止时间。</w:t>
      </w:r>
    </w:p>
    <w:p w14:paraId="483B6E8E">
      <w:pPr>
        <w:spacing w:line="500" w:lineRule="exact"/>
        <w:ind w:firstLine="480" w:firstLineChars="200"/>
        <w:jc w:val="left"/>
        <w:rPr>
          <w:sz w:val="24"/>
          <w:szCs w:val="24"/>
        </w:rPr>
      </w:pPr>
      <w:r>
        <w:rPr>
          <w:rFonts w:hint="eastAsia"/>
          <w:sz w:val="24"/>
          <w:szCs w:val="24"/>
        </w:rPr>
        <w:t>19.2 采购人和代理机构可以按照规定，通过修改采购文件酌情延长投标截止时间，在此情况下，供应商的所有权利和义务以及供应商受制的截止时间均应以延长后新的截止时间为准。</w:t>
      </w:r>
    </w:p>
    <w:p w14:paraId="19BA8D21">
      <w:pPr>
        <w:pStyle w:val="4"/>
        <w:spacing w:before="0" w:after="0" w:line="360" w:lineRule="auto"/>
        <w:ind w:firstLine="562"/>
        <w:jc w:val="left"/>
        <w:rPr>
          <w:sz w:val="28"/>
          <w:szCs w:val="28"/>
        </w:rPr>
      </w:pPr>
      <w:r>
        <w:rPr>
          <w:rFonts w:hint="eastAsia"/>
          <w:sz w:val="28"/>
          <w:szCs w:val="28"/>
        </w:rPr>
        <w:t>20、响应文件的拒收</w:t>
      </w:r>
    </w:p>
    <w:p w14:paraId="48E729FD">
      <w:pPr>
        <w:spacing w:line="500" w:lineRule="exact"/>
        <w:ind w:firstLine="480" w:firstLineChars="200"/>
        <w:jc w:val="left"/>
        <w:rPr>
          <w:sz w:val="24"/>
          <w:szCs w:val="24"/>
        </w:rPr>
      </w:pPr>
      <w:r>
        <w:rPr>
          <w:rFonts w:hint="eastAsia"/>
          <w:sz w:val="24"/>
          <w:szCs w:val="24"/>
        </w:rPr>
        <w:t>20.1 采购人、代理机构拒绝接收在磋商文件规定的截止时间后递交的任何响应文件。</w:t>
      </w:r>
    </w:p>
    <w:p w14:paraId="66E8B875">
      <w:pPr>
        <w:pStyle w:val="4"/>
        <w:spacing w:before="0" w:after="0" w:line="360" w:lineRule="auto"/>
        <w:ind w:firstLine="562"/>
        <w:jc w:val="left"/>
        <w:rPr>
          <w:sz w:val="28"/>
          <w:szCs w:val="28"/>
        </w:rPr>
      </w:pPr>
      <w:r>
        <w:rPr>
          <w:rFonts w:hint="eastAsia"/>
          <w:sz w:val="28"/>
          <w:szCs w:val="28"/>
        </w:rPr>
        <w:t>21、响应文件的撤回和修改</w:t>
      </w:r>
    </w:p>
    <w:p w14:paraId="03CD89C3">
      <w:pPr>
        <w:spacing w:line="500" w:lineRule="exact"/>
        <w:ind w:firstLine="480" w:firstLineChars="200"/>
        <w:jc w:val="left"/>
        <w:rPr>
          <w:sz w:val="24"/>
          <w:szCs w:val="24"/>
        </w:rPr>
      </w:pPr>
      <w:r>
        <w:rPr>
          <w:rFonts w:hint="eastAsia"/>
          <w:sz w:val="24"/>
          <w:szCs w:val="24"/>
        </w:rPr>
        <w:t>21.1 供应商可在投标截止时间前，撤回其响应文件，但须以书面形式通知采购人。供应商撤回响应文件的，则认为其不再参与本项目采购活动。</w:t>
      </w:r>
    </w:p>
    <w:p w14:paraId="4196EC32">
      <w:pPr>
        <w:spacing w:line="500" w:lineRule="exact"/>
        <w:ind w:firstLine="480" w:firstLineChars="200"/>
        <w:jc w:val="left"/>
        <w:rPr>
          <w:sz w:val="24"/>
          <w:szCs w:val="24"/>
        </w:rPr>
      </w:pPr>
      <w:r>
        <w:rPr>
          <w:rFonts w:hint="eastAsia"/>
          <w:sz w:val="24"/>
          <w:szCs w:val="24"/>
        </w:rPr>
        <w:t>21.2 供应商可在投标截止时间前，对其响应文件进行修改，但须以书面形式通知采购人。在投标截止时间之后，供应商不得对其响应文件做任何修改。</w:t>
      </w:r>
    </w:p>
    <w:p w14:paraId="71DF2D3D">
      <w:pPr>
        <w:spacing w:line="500" w:lineRule="exact"/>
        <w:ind w:firstLine="480" w:firstLineChars="200"/>
        <w:jc w:val="left"/>
        <w:rPr>
          <w:sz w:val="24"/>
          <w:szCs w:val="24"/>
        </w:rPr>
      </w:pPr>
      <w:r>
        <w:rPr>
          <w:rFonts w:hint="eastAsia"/>
          <w:sz w:val="24"/>
          <w:szCs w:val="24"/>
        </w:rPr>
        <w:t>21.3 在投标截止时间至采购文件规定的投标有效期满之间的这段时间内，供应商不得撤回其投标。</w:t>
      </w:r>
    </w:p>
    <w:p w14:paraId="4F82238A">
      <w:pPr>
        <w:pStyle w:val="3"/>
        <w:spacing w:before="0" w:after="0" w:line="360" w:lineRule="auto"/>
        <w:rPr>
          <w:rFonts w:ascii="黑体" w:hAnsi="黑体" w:eastAsia="黑体"/>
          <w:b w:val="0"/>
        </w:rPr>
      </w:pPr>
      <w:r>
        <w:rPr>
          <w:rFonts w:hint="eastAsia" w:ascii="黑体" w:hAnsi="黑体" w:eastAsia="黑体"/>
          <w:b w:val="0"/>
        </w:rPr>
        <w:t>五、响应文件开启（解密）与评审</w:t>
      </w:r>
    </w:p>
    <w:p w14:paraId="4904951B">
      <w:pPr>
        <w:pStyle w:val="4"/>
        <w:spacing w:before="0" w:after="0" w:line="360" w:lineRule="auto"/>
        <w:ind w:firstLine="562"/>
        <w:jc w:val="left"/>
        <w:rPr>
          <w:sz w:val="28"/>
          <w:szCs w:val="28"/>
        </w:rPr>
      </w:pPr>
      <w:r>
        <w:rPr>
          <w:rFonts w:hint="eastAsia"/>
          <w:sz w:val="28"/>
          <w:szCs w:val="28"/>
        </w:rPr>
        <w:t>22、响应文件开启</w:t>
      </w:r>
    </w:p>
    <w:p w14:paraId="5444BA6F">
      <w:pPr>
        <w:spacing w:line="500" w:lineRule="exact"/>
        <w:ind w:firstLine="480" w:firstLineChars="200"/>
        <w:jc w:val="left"/>
        <w:rPr>
          <w:sz w:val="24"/>
          <w:szCs w:val="24"/>
        </w:rPr>
      </w:pPr>
      <w:r>
        <w:rPr>
          <w:rFonts w:hint="eastAsia"/>
          <w:sz w:val="24"/>
          <w:szCs w:val="24"/>
        </w:rPr>
        <w:t>22.1 代理机构将在磋商公告中规定的时间和地点组织响应文件开启。供应商的法定代表人或其委托代理人应准备身份证件准时参加，参加仪式的代表需签名报到以证明其出席参加开标会。</w:t>
      </w:r>
    </w:p>
    <w:p w14:paraId="3A2EFAA0">
      <w:pPr>
        <w:spacing w:line="500" w:lineRule="exact"/>
        <w:ind w:firstLine="480" w:firstLineChars="200"/>
        <w:jc w:val="left"/>
        <w:rPr>
          <w:sz w:val="24"/>
          <w:szCs w:val="24"/>
        </w:rPr>
      </w:pPr>
      <w:r>
        <w:rPr>
          <w:rFonts w:hint="eastAsia"/>
          <w:sz w:val="24"/>
          <w:szCs w:val="24"/>
        </w:rPr>
        <w:t>线下交易的，供应商必须在采购文件规定的截止时间前到达开标会场，遵照现场工作人员要求。超过截止时间的采购代理机构有权拒绝，视为供应商放弃投标和放弃对开标全过程提出疑义的权利，供应商承担由此导致的一切后果。</w:t>
      </w:r>
    </w:p>
    <w:p w14:paraId="5690A5B9">
      <w:pPr>
        <w:spacing w:line="500" w:lineRule="exact"/>
        <w:ind w:firstLine="480" w:firstLineChars="200"/>
        <w:jc w:val="left"/>
        <w:rPr>
          <w:sz w:val="24"/>
          <w:szCs w:val="24"/>
        </w:rPr>
      </w:pPr>
      <w:r>
        <w:rPr>
          <w:rFonts w:hint="eastAsia"/>
          <w:sz w:val="24"/>
          <w:szCs w:val="24"/>
        </w:rPr>
        <w:t>供应商未参加开标会的，视同认可开标结果。</w:t>
      </w:r>
    </w:p>
    <w:p w14:paraId="61CB34C5">
      <w:pPr>
        <w:spacing w:line="500" w:lineRule="exact"/>
        <w:ind w:firstLine="480" w:firstLineChars="200"/>
        <w:jc w:val="left"/>
        <w:rPr>
          <w:sz w:val="24"/>
          <w:szCs w:val="24"/>
        </w:rPr>
      </w:pPr>
      <w:r>
        <w:rPr>
          <w:rFonts w:hint="eastAsia"/>
          <w:sz w:val="24"/>
          <w:szCs w:val="24"/>
        </w:rPr>
        <w:t>22.2 开标仪式由代理机构组织。并宣布各供应商名称和投标价格。</w:t>
      </w:r>
    </w:p>
    <w:p w14:paraId="59B49CC7">
      <w:pPr>
        <w:spacing w:line="500" w:lineRule="exact"/>
        <w:ind w:firstLine="480" w:firstLineChars="200"/>
        <w:jc w:val="left"/>
        <w:rPr>
          <w:sz w:val="24"/>
          <w:szCs w:val="24"/>
        </w:rPr>
      </w:pPr>
      <w:r>
        <w:rPr>
          <w:rFonts w:hint="eastAsia"/>
          <w:sz w:val="24"/>
          <w:szCs w:val="24"/>
        </w:rPr>
        <w:t>22.3  供应商如果对开标过程和开标记录有疑议，应当在开标现场提出，采购人或采购代理机构当场回复并记录。</w:t>
      </w:r>
    </w:p>
    <w:p w14:paraId="3E310C2D">
      <w:pPr>
        <w:spacing w:line="500" w:lineRule="exact"/>
        <w:ind w:firstLine="480" w:firstLineChars="200"/>
        <w:jc w:val="left"/>
        <w:rPr>
          <w:sz w:val="24"/>
          <w:szCs w:val="24"/>
        </w:rPr>
      </w:pPr>
      <w:r>
        <w:rPr>
          <w:rFonts w:hint="eastAsia"/>
          <w:sz w:val="24"/>
          <w:szCs w:val="24"/>
        </w:rPr>
        <w:t>2</w:t>
      </w:r>
      <w:r>
        <w:rPr>
          <w:sz w:val="24"/>
          <w:szCs w:val="24"/>
        </w:rPr>
        <w:t>2</w:t>
      </w:r>
      <w:r>
        <w:rPr>
          <w:rFonts w:hint="eastAsia"/>
          <w:sz w:val="24"/>
          <w:szCs w:val="24"/>
        </w:rPr>
        <w:t>.4 供应商在开标、评标全过程中应保持通讯畅通，及时接收、答复相关信息，并安排专人与代理机构及磋商小组联系。</w:t>
      </w:r>
    </w:p>
    <w:p w14:paraId="08C96CB7">
      <w:pPr>
        <w:pStyle w:val="4"/>
        <w:spacing w:before="0" w:after="0" w:line="360" w:lineRule="auto"/>
        <w:ind w:firstLine="562"/>
        <w:jc w:val="left"/>
        <w:rPr>
          <w:sz w:val="28"/>
          <w:szCs w:val="28"/>
        </w:rPr>
      </w:pPr>
      <w:r>
        <w:rPr>
          <w:rFonts w:hint="eastAsia"/>
          <w:sz w:val="28"/>
          <w:szCs w:val="28"/>
        </w:rPr>
        <w:t>23、磋商小组</w:t>
      </w:r>
    </w:p>
    <w:p w14:paraId="5138B54D">
      <w:pPr>
        <w:spacing w:line="500" w:lineRule="exact"/>
        <w:ind w:firstLine="480" w:firstLineChars="200"/>
        <w:jc w:val="left"/>
        <w:rPr>
          <w:sz w:val="24"/>
          <w:szCs w:val="24"/>
        </w:rPr>
      </w:pPr>
      <w:r>
        <w:rPr>
          <w:rFonts w:hint="eastAsia"/>
          <w:sz w:val="24"/>
          <w:szCs w:val="24"/>
        </w:rPr>
        <w:t>23.1 响应文件开启后，代理机构将组织磋商小组进行评审。</w:t>
      </w:r>
    </w:p>
    <w:p w14:paraId="04BCF6F3">
      <w:pPr>
        <w:spacing w:line="500" w:lineRule="exact"/>
        <w:ind w:firstLine="480" w:firstLineChars="200"/>
        <w:jc w:val="left"/>
        <w:rPr>
          <w:sz w:val="24"/>
          <w:szCs w:val="24"/>
        </w:rPr>
      </w:pPr>
      <w:r>
        <w:rPr>
          <w:rFonts w:hint="eastAsia"/>
          <w:sz w:val="24"/>
          <w:szCs w:val="24"/>
        </w:rPr>
        <w:t>23.2 磋商小组由采购人代表和有关技术、经济等方面的评审专家组成，且人员构成符合政府采购有关规定。</w:t>
      </w:r>
    </w:p>
    <w:p w14:paraId="4BAE4AF0">
      <w:pPr>
        <w:spacing w:line="500" w:lineRule="exact"/>
        <w:ind w:firstLine="480"/>
        <w:jc w:val="left"/>
        <w:rPr>
          <w:sz w:val="24"/>
          <w:szCs w:val="24"/>
        </w:rPr>
      </w:pPr>
      <w:r>
        <w:rPr>
          <w:rFonts w:hint="eastAsia"/>
          <w:sz w:val="24"/>
          <w:szCs w:val="24"/>
        </w:rPr>
        <w:t>23.3 磋商小组按照磋商文件规定的评审程序、评审方法和评审标准进行独立评审并确定成交候选人。</w:t>
      </w:r>
    </w:p>
    <w:p w14:paraId="7BAB847D">
      <w:pPr>
        <w:pStyle w:val="4"/>
        <w:spacing w:before="0" w:after="0" w:line="360" w:lineRule="auto"/>
        <w:ind w:firstLine="562"/>
        <w:jc w:val="left"/>
        <w:rPr>
          <w:sz w:val="28"/>
          <w:szCs w:val="28"/>
        </w:rPr>
      </w:pPr>
      <w:r>
        <w:rPr>
          <w:rFonts w:hint="eastAsia"/>
          <w:sz w:val="28"/>
          <w:szCs w:val="28"/>
        </w:rPr>
        <w:t>24、评审过程的保密与公正</w:t>
      </w:r>
    </w:p>
    <w:p w14:paraId="10239B1D">
      <w:pPr>
        <w:spacing w:line="500" w:lineRule="exact"/>
        <w:ind w:firstLine="480"/>
        <w:jc w:val="left"/>
        <w:rPr>
          <w:sz w:val="24"/>
          <w:szCs w:val="24"/>
        </w:rPr>
      </w:pPr>
      <w:r>
        <w:rPr>
          <w:rFonts w:hint="eastAsia"/>
          <w:sz w:val="24"/>
          <w:szCs w:val="24"/>
        </w:rPr>
        <w:t>24.1 凡是与审查、澄清、评价和比较有关的资料以及成交建议等，采购人、评审专家、代理机构均不得向供应商或与评审无关的其他人员透露。</w:t>
      </w:r>
    </w:p>
    <w:p w14:paraId="019396AC">
      <w:pPr>
        <w:spacing w:line="500" w:lineRule="exact"/>
        <w:ind w:firstLine="480"/>
        <w:jc w:val="left"/>
        <w:rPr>
          <w:sz w:val="24"/>
          <w:szCs w:val="24"/>
        </w:rPr>
      </w:pPr>
      <w:r>
        <w:rPr>
          <w:rFonts w:hint="eastAsia"/>
          <w:sz w:val="24"/>
          <w:szCs w:val="24"/>
        </w:rPr>
        <w:t>24.2 在评审过程中，供应商不得以任何行为影响评审过程，否则其响应文件将被作为无效响应文件。</w:t>
      </w:r>
    </w:p>
    <w:p w14:paraId="3242D75E">
      <w:pPr>
        <w:spacing w:line="500" w:lineRule="exact"/>
        <w:ind w:firstLine="480"/>
        <w:jc w:val="left"/>
        <w:rPr>
          <w:rFonts w:hint="eastAsia"/>
          <w:sz w:val="24"/>
          <w:szCs w:val="24"/>
        </w:rPr>
      </w:pPr>
      <w:r>
        <w:rPr>
          <w:rFonts w:hint="eastAsia"/>
          <w:sz w:val="24"/>
          <w:szCs w:val="24"/>
        </w:rPr>
        <w:t>24.3 代理机构和磋商小组不向未成交的供应商解释未成交原因，也不公布评审过程中的相关细节。</w:t>
      </w:r>
    </w:p>
    <w:p w14:paraId="3AC556A3">
      <w:pPr>
        <w:spacing w:line="500" w:lineRule="exact"/>
        <w:ind w:firstLine="480" w:firstLineChars="200"/>
        <w:jc w:val="left"/>
        <w:rPr>
          <w:rFonts w:hint="eastAsia"/>
          <w:sz w:val="24"/>
          <w:szCs w:val="24"/>
        </w:rPr>
      </w:pPr>
      <w:r>
        <w:rPr>
          <w:rFonts w:hint="eastAsia"/>
          <w:sz w:val="24"/>
          <w:szCs w:val="24"/>
        </w:rPr>
        <w:t>24.4 采用综合评分法的项目，未中标的供应商可了解自己的评审得分及排序情况。</w:t>
      </w:r>
    </w:p>
    <w:p w14:paraId="6E420236">
      <w:pPr>
        <w:pStyle w:val="4"/>
        <w:spacing w:before="0" w:after="0" w:line="360" w:lineRule="auto"/>
        <w:ind w:firstLine="562"/>
        <w:jc w:val="left"/>
        <w:rPr>
          <w:sz w:val="28"/>
          <w:szCs w:val="28"/>
        </w:rPr>
      </w:pPr>
      <w:r>
        <w:rPr>
          <w:rFonts w:hint="eastAsia"/>
          <w:sz w:val="28"/>
          <w:szCs w:val="28"/>
        </w:rPr>
        <w:t>25、响应文件的澄清</w:t>
      </w:r>
    </w:p>
    <w:p w14:paraId="0109382A">
      <w:pPr>
        <w:spacing w:line="500" w:lineRule="exact"/>
        <w:ind w:firstLine="480" w:firstLineChars="200"/>
        <w:jc w:val="left"/>
        <w:rPr>
          <w:sz w:val="24"/>
          <w:szCs w:val="24"/>
        </w:rPr>
      </w:pPr>
      <w:r>
        <w:rPr>
          <w:rFonts w:hint="eastAsia"/>
          <w:sz w:val="24"/>
          <w:szCs w:val="24"/>
        </w:rPr>
        <w:t>25.1 评审期间，磋商小组对响应文件中含义不明确、同类问题表述不一致或者有明显文字和计算错误的内容，有权要求供应商作出必要的澄清、说明或者补正。</w:t>
      </w:r>
    </w:p>
    <w:p w14:paraId="432AE5D1">
      <w:pPr>
        <w:spacing w:line="500" w:lineRule="exact"/>
        <w:ind w:firstLine="480" w:firstLineChars="200"/>
        <w:jc w:val="left"/>
        <w:rPr>
          <w:sz w:val="24"/>
          <w:szCs w:val="24"/>
        </w:rPr>
      </w:pPr>
      <w:r>
        <w:rPr>
          <w:rFonts w:hint="eastAsia"/>
          <w:sz w:val="24"/>
          <w:szCs w:val="24"/>
        </w:rPr>
        <w:t>供应商的澄清、说明或者补正应当采用书面形式，并加盖公章，或者由法定代表人（单位负责人）或其授权的代表签字。供应商的澄清、说明或者补正不得超出响应文件的范围或者改变响应文件的实质性内容。</w:t>
      </w:r>
    </w:p>
    <w:p w14:paraId="5FA6BE15">
      <w:pPr>
        <w:spacing w:line="500" w:lineRule="exact"/>
        <w:ind w:firstLine="480" w:firstLineChars="200"/>
        <w:jc w:val="left"/>
        <w:rPr>
          <w:sz w:val="24"/>
          <w:szCs w:val="24"/>
        </w:rPr>
      </w:pPr>
      <w:r>
        <w:rPr>
          <w:rFonts w:hint="eastAsia"/>
          <w:sz w:val="24"/>
          <w:szCs w:val="24"/>
        </w:rPr>
        <w:t>磋商小组并非对每个供应商都提出澄清、说明或者补正要求。</w:t>
      </w:r>
    </w:p>
    <w:p w14:paraId="16A3695A">
      <w:pPr>
        <w:spacing w:line="500" w:lineRule="exact"/>
        <w:ind w:firstLine="480" w:firstLineChars="200"/>
        <w:jc w:val="left"/>
        <w:rPr>
          <w:sz w:val="24"/>
          <w:szCs w:val="24"/>
        </w:rPr>
      </w:pPr>
      <w:r>
        <w:rPr>
          <w:rFonts w:hint="eastAsia"/>
          <w:sz w:val="24"/>
          <w:szCs w:val="24"/>
        </w:rPr>
        <w:t>25.2 需要供应商进行澄清、说明或者补正的，磋商小组将通过书面形式向供应商发出“澄清要求函”，接到“澄清要求函”的供应商应当按照要求以书面形式提交“澄清响应函”，并由法定代表人（单位负责人）或其授权的代表签字。澄清、说明或者补正的内容作为响应文件的补充部分。</w:t>
      </w:r>
    </w:p>
    <w:p w14:paraId="558F2C0B">
      <w:pPr>
        <w:spacing w:line="500" w:lineRule="exact"/>
        <w:ind w:firstLine="480" w:firstLineChars="200"/>
        <w:jc w:val="left"/>
        <w:rPr>
          <w:sz w:val="24"/>
          <w:szCs w:val="24"/>
        </w:rPr>
      </w:pPr>
      <w:r>
        <w:rPr>
          <w:rFonts w:hint="eastAsia"/>
          <w:sz w:val="24"/>
          <w:szCs w:val="24"/>
        </w:rPr>
        <w:t>25.3 接到磋商小组澄清、说明或者补正要求的供应商如未按要求响应，其风险由供应商自行承担。</w:t>
      </w:r>
    </w:p>
    <w:p w14:paraId="1F139479">
      <w:pPr>
        <w:pStyle w:val="4"/>
        <w:spacing w:before="0" w:after="0" w:line="360" w:lineRule="auto"/>
        <w:ind w:firstLine="562"/>
        <w:jc w:val="left"/>
        <w:rPr>
          <w:sz w:val="28"/>
          <w:szCs w:val="28"/>
        </w:rPr>
      </w:pPr>
      <w:r>
        <w:rPr>
          <w:rFonts w:hint="eastAsia"/>
          <w:sz w:val="28"/>
          <w:szCs w:val="28"/>
        </w:rPr>
        <w:t>26、对响应文件的审查</w:t>
      </w:r>
    </w:p>
    <w:p w14:paraId="7D6DCBF2">
      <w:pPr>
        <w:spacing w:line="500" w:lineRule="exact"/>
        <w:ind w:firstLine="480"/>
        <w:jc w:val="left"/>
        <w:rPr>
          <w:sz w:val="24"/>
          <w:szCs w:val="24"/>
        </w:rPr>
      </w:pPr>
      <w:r>
        <w:rPr>
          <w:rFonts w:hint="eastAsia"/>
          <w:sz w:val="24"/>
          <w:szCs w:val="24"/>
        </w:rPr>
        <w:t>26.1 响应文件审查分为资格审查和符合性审查。</w:t>
      </w:r>
    </w:p>
    <w:p w14:paraId="6AE12940">
      <w:pPr>
        <w:spacing w:line="500" w:lineRule="exact"/>
        <w:ind w:firstLine="480"/>
        <w:jc w:val="left"/>
        <w:rPr>
          <w:sz w:val="24"/>
          <w:szCs w:val="24"/>
        </w:rPr>
      </w:pPr>
      <w:r>
        <w:rPr>
          <w:rFonts w:hint="eastAsia"/>
          <w:sz w:val="24"/>
          <w:szCs w:val="24"/>
        </w:rPr>
        <w:t>（1）资格审查：磋商小组依据法律法规和磋商文件的规定，对响应文件中的资格证明文件进行审查，以确定供应商是否具备参加磋商采购的资格。</w:t>
      </w:r>
    </w:p>
    <w:p w14:paraId="46722055">
      <w:pPr>
        <w:spacing w:line="500" w:lineRule="exact"/>
        <w:ind w:firstLine="480"/>
        <w:jc w:val="left"/>
        <w:rPr>
          <w:sz w:val="24"/>
          <w:szCs w:val="24"/>
        </w:rPr>
      </w:pPr>
      <w:r>
        <w:rPr>
          <w:rFonts w:hint="eastAsia"/>
          <w:sz w:val="24"/>
          <w:szCs w:val="24"/>
        </w:rPr>
        <w:t>磋商小组在进行资格审查的同时，将在信用中国网站（www.creditchina.gov.cn）、中国政府采购网（www.ccgp.gov.cn）查询供应商的信用记录，以确定供应商是否具备参加磋商资格，查询结果留存并归档。</w:t>
      </w:r>
    </w:p>
    <w:p w14:paraId="52E7B55F">
      <w:pPr>
        <w:spacing w:line="500" w:lineRule="exact"/>
        <w:ind w:firstLine="480"/>
        <w:jc w:val="left"/>
        <w:rPr>
          <w:sz w:val="24"/>
          <w:szCs w:val="24"/>
        </w:rPr>
      </w:pPr>
      <w:r>
        <w:rPr>
          <w:rFonts w:hint="eastAsia"/>
          <w:sz w:val="24"/>
          <w:szCs w:val="24"/>
        </w:rPr>
        <w:t>接受联合体的项目，两个以上的自然人、法人或者其他组织组成一个联合体，以一个供应商的身份共同参与政府采购活动的，联合体成员中任何一方存在不良信用记录的，视同联合体存在不良信用记录。</w:t>
      </w:r>
    </w:p>
    <w:p w14:paraId="24217064">
      <w:pPr>
        <w:spacing w:line="500" w:lineRule="exact"/>
        <w:ind w:firstLine="480"/>
        <w:jc w:val="left"/>
        <w:rPr>
          <w:sz w:val="24"/>
          <w:szCs w:val="24"/>
        </w:rPr>
      </w:pPr>
      <w:r>
        <w:rPr>
          <w:rFonts w:hint="eastAsia"/>
          <w:sz w:val="24"/>
          <w:szCs w:val="24"/>
        </w:rPr>
        <w:t>（2）符合性审查：磋商小组依据磋商文件的规定，从响应文件的有效性、完整性和对磋商文件的响应程度进行审查，以确定其是否对磋商文件的全部实质性要求作出响应。</w:t>
      </w:r>
    </w:p>
    <w:p w14:paraId="78E447D0">
      <w:pPr>
        <w:spacing w:line="500" w:lineRule="exact"/>
        <w:ind w:firstLine="480" w:firstLineChars="200"/>
        <w:jc w:val="left"/>
        <w:rPr>
          <w:sz w:val="24"/>
          <w:szCs w:val="24"/>
        </w:rPr>
      </w:pPr>
      <w:r>
        <w:rPr>
          <w:rFonts w:hint="eastAsia"/>
          <w:sz w:val="24"/>
          <w:szCs w:val="24"/>
        </w:rPr>
        <w:t>未通过资格审查或符合性审查的供应商，将告知其未通过的原因，评审结束后，将不再告知。</w:t>
      </w:r>
    </w:p>
    <w:p w14:paraId="2BE95F1A">
      <w:pPr>
        <w:spacing w:line="500" w:lineRule="exact"/>
        <w:ind w:firstLine="480"/>
        <w:jc w:val="left"/>
        <w:rPr>
          <w:sz w:val="24"/>
          <w:szCs w:val="24"/>
        </w:rPr>
      </w:pPr>
      <w:r>
        <w:rPr>
          <w:rFonts w:hint="eastAsia"/>
          <w:sz w:val="24"/>
          <w:szCs w:val="24"/>
        </w:rPr>
        <w:t>26.2 在磋商之前，磋商小组将首先审查每份响应文件是否实质性响应了磋商文件的要求。实质性响应的文件应当是与磋商文件要求的全部条款、条件和规格相符，没有重大偏离或保留。</w:t>
      </w:r>
    </w:p>
    <w:p w14:paraId="474CA8B1">
      <w:pPr>
        <w:spacing w:line="500" w:lineRule="exact"/>
        <w:ind w:firstLine="480"/>
        <w:jc w:val="left"/>
        <w:rPr>
          <w:sz w:val="24"/>
          <w:szCs w:val="24"/>
        </w:rPr>
      </w:pPr>
      <w:r>
        <w:rPr>
          <w:rFonts w:hint="eastAsia"/>
          <w:sz w:val="24"/>
          <w:szCs w:val="24"/>
        </w:rPr>
        <w:t>所谓重大偏离或保留是指与磋商文件规定的实质性要求存在负偏离，或者在实质上与磋商文件不一致，而且限制了合同中买方和代理机构的权利或供应商的义务，纠正这些偏离或保留将会对其他实质性响应要求的供应商的竞争地位产生不公正的影响。重大偏离的认定须经过磋商小组以少数服从多数的原则作出结论。磋商小组决定响应文件的响应性只根据响应文件本身的内容，而不寻求外部的证据。</w:t>
      </w:r>
    </w:p>
    <w:p w14:paraId="5863631F">
      <w:pPr>
        <w:spacing w:line="500" w:lineRule="exact"/>
        <w:ind w:firstLine="480"/>
        <w:jc w:val="left"/>
        <w:rPr>
          <w:rFonts w:hint="eastAsia"/>
          <w:sz w:val="24"/>
          <w:szCs w:val="24"/>
        </w:rPr>
      </w:pPr>
      <w:r>
        <w:rPr>
          <w:rFonts w:hint="eastAsia"/>
          <w:sz w:val="24"/>
          <w:szCs w:val="24"/>
        </w:rPr>
        <w:t>26.3 如果响应文件实质上没有响应磋商文件的要求，磋商小组将予以拒绝，供应商不得通过修改或撤销不符合要求的偏离或保留而使其成为实质性响应。</w:t>
      </w:r>
    </w:p>
    <w:p w14:paraId="64A81CF2">
      <w:pPr>
        <w:spacing w:line="500" w:lineRule="exact"/>
        <w:ind w:firstLine="480" w:firstLineChars="200"/>
        <w:jc w:val="left"/>
        <w:rPr>
          <w:sz w:val="24"/>
          <w:szCs w:val="24"/>
        </w:rPr>
      </w:pPr>
      <w:r>
        <w:rPr>
          <w:rFonts w:hint="eastAsia"/>
          <w:sz w:val="24"/>
          <w:szCs w:val="24"/>
        </w:rPr>
        <w:t>26.4 磋商小组将对确定为实质性响应的投标进行进一步审核，看其是否有计算上或累加上的算术错误，修正错误的原则如下：</w:t>
      </w:r>
    </w:p>
    <w:p w14:paraId="390BF473">
      <w:pPr>
        <w:spacing w:line="500" w:lineRule="exact"/>
        <w:ind w:firstLine="480" w:firstLineChars="200"/>
        <w:jc w:val="left"/>
        <w:rPr>
          <w:sz w:val="24"/>
          <w:szCs w:val="24"/>
        </w:rPr>
      </w:pPr>
      <w:r>
        <w:rPr>
          <w:rFonts w:hint="eastAsia"/>
          <w:sz w:val="24"/>
          <w:szCs w:val="24"/>
        </w:rPr>
        <w:t>（1）响应文件中开标一览表内容与响应文件中相应内容不一致的，以开标一览表为准。</w:t>
      </w:r>
    </w:p>
    <w:p w14:paraId="7BF7DB18">
      <w:pPr>
        <w:spacing w:line="500" w:lineRule="exact"/>
        <w:ind w:firstLine="480" w:firstLineChars="200"/>
        <w:jc w:val="left"/>
        <w:rPr>
          <w:sz w:val="24"/>
          <w:szCs w:val="24"/>
        </w:rPr>
      </w:pPr>
      <w:r>
        <w:rPr>
          <w:rFonts w:hint="eastAsia"/>
          <w:sz w:val="24"/>
          <w:szCs w:val="24"/>
        </w:rPr>
        <w:t>（2）大写金额和小写金额不一致的，以大写金额为准。</w:t>
      </w:r>
    </w:p>
    <w:p w14:paraId="496D9842">
      <w:pPr>
        <w:spacing w:line="500" w:lineRule="exact"/>
        <w:ind w:firstLine="480" w:firstLineChars="200"/>
        <w:jc w:val="left"/>
        <w:rPr>
          <w:sz w:val="24"/>
          <w:szCs w:val="24"/>
        </w:rPr>
      </w:pPr>
      <w:r>
        <w:rPr>
          <w:rFonts w:hint="eastAsia"/>
          <w:sz w:val="24"/>
          <w:szCs w:val="24"/>
        </w:rPr>
        <w:t>（3）单价金额小数点或者百分比有明显错位的，以开标一览表的总价为准，并修改单价。</w:t>
      </w:r>
    </w:p>
    <w:p w14:paraId="10C88020">
      <w:pPr>
        <w:spacing w:line="500" w:lineRule="exact"/>
        <w:ind w:firstLine="480" w:firstLineChars="200"/>
        <w:jc w:val="left"/>
        <w:rPr>
          <w:sz w:val="24"/>
          <w:szCs w:val="24"/>
        </w:rPr>
      </w:pPr>
      <w:r>
        <w:rPr>
          <w:rFonts w:hint="eastAsia"/>
          <w:sz w:val="24"/>
          <w:szCs w:val="24"/>
        </w:rPr>
        <w:t>（4）总价金额与按单价汇总金额不一致的，以单价金额计算结果为准。</w:t>
      </w:r>
    </w:p>
    <w:p w14:paraId="67B0B0CF">
      <w:pPr>
        <w:spacing w:line="500" w:lineRule="exact"/>
        <w:ind w:firstLine="480" w:firstLineChars="200"/>
        <w:jc w:val="left"/>
        <w:rPr>
          <w:sz w:val="24"/>
          <w:szCs w:val="24"/>
        </w:rPr>
      </w:pPr>
      <w:r>
        <w:rPr>
          <w:rFonts w:hint="eastAsia"/>
          <w:sz w:val="24"/>
          <w:szCs w:val="24"/>
        </w:rPr>
        <w:t>同时出现两种以上错误的，按照前款规定的顺序修正。</w:t>
      </w:r>
    </w:p>
    <w:p w14:paraId="45FCA18C">
      <w:pPr>
        <w:spacing w:line="500" w:lineRule="exact"/>
        <w:ind w:firstLine="480" w:firstLineChars="200"/>
        <w:jc w:val="left"/>
        <w:rPr>
          <w:sz w:val="24"/>
          <w:szCs w:val="24"/>
        </w:rPr>
      </w:pPr>
      <w:r>
        <w:rPr>
          <w:rFonts w:hint="eastAsia"/>
          <w:sz w:val="24"/>
          <w:szCs w:val="24"/>
        </w:rPr>
        <w:t>26.5 磋商小组将按上述修正错误的方法调整响应文件中的投标报价，并告知供应商，调整后的价格对供应商具有约束力。如果供应商不接受修正后的价格，则其投标将被拒绝。</w:t>
      </w:r>
    </w:p>
    <w:p w14:paraId="6B5C19E4">
      <w:pPr>
        <w:spacing w:line="500" w:lineRule="exact"/>
        <w:ind w:firstLine="480" w:firstLineChars="200"/>
        <w:jc w:val="left"/>
        <w:rPr>
          <w:sz w:val="24"/>
          <w:szCs w:val="24"/>
        </w:rPr>
      </w:pPr>
      <w:r>
        <w:rPr>
          <w:rFonts w:hint="eastAsia"/>
          <w:sz w:val="24"/>
          <w:szCs w:val="24"/>
        </w:rPr>
        <w:t>26.6 采用最低评标价法的采购项目，提供相同品牌产品的不同供应商参加同一合同项下投标的，以其中通过资格审查、符合性审查且报价最低的参加评标；报价相同的，由评委会按照采购文件规定的方式确定一个参加评标的供应商，采购文件未规定的采取随机抽取方式确定，其他投标无效。</w:t>
      </w:r>
    </w:p>
    <w:p w14:paraId="1635B8E1">
      <w:pPr>
        <w:spacing w:line="500" w:lineRule="exact"/>
        <w:ind w:firstLine="480" w:firstLineChars="200"/>
        <w:jc w:val="left"/>
        <w:rPr>
          <w:sz w:val="24"/>
          <w:szCs w:val="24"/>
        </w:rPr>
      </w:pPr>
      <w:r>
        <w:rPr>
          <w:rFonts w:hint="eastAsia"/>
          <w:sz w:val="24"/>
          <w:szCs w:val="24"/>
        </w:rPr>
        <w:t>采用综合评分法的采购项目，提供相同品牌产品且通过资格审查、符合性审查的不同供应商参加同一合同项下投标的，按一家供应商计算，评审后得分最高的同品牌供应商获得中标人推荐资格；评审得分相同的，由评委会按照采购文件规定的方式确定一个供应商获得中标人推荐资格，采购文件未规定的采取随机抽取方式确定，其他同品牌供应商不作为中标候选人。</w:t>
      </w:r>
    </w:p>
    <w:p w14:paraId="0EE976CA">
      <w:pPr>
        <w:spacing w:line="500" w:lineRule="exact"/>
        <w:ind w:firstLine="480" w:firstLineChars="200"/>
        <w:jc w:val="left"/>
        <w:rPr>
          <w:rFonts w:hint="eastAsia"/>
          <w:sz w:val="24"/>
          <w:szCs w:val="24"/>
        </w:rPr>
      </w:pPr>
      <w:r>
        <w:rPr>
          <w:rFonts w:hint="eastAsia"/>
          <w:sz w:val="24"/>
          <w:szCs w:val="24"/>
        </w:rPr>
        <w:t>非单一产品采购项目，采购文件中将载明核心产品。多家供应商提供的核心产品品牌相同的，按前两款规定处理。</w:t>
      </w:r>
    </w:p>
    <w:p w14:paraId="2E36EC92">
      <w:pPr>
        <w:spacing w:line="500" w:lineRule="exact"/>
        <w:ind w:firstLine="480" w:firstLineChars="200"/>
        <w:jc w:val="left"/>
        <w:rPr>
          <w:sz w:val="24"/>
          <w:szCs w:val="24"/>
        </w:rPr>
      </w:pPr>
      <w:r>
        <w:rPr>
          <w:rFonts w:hint="eastAsia"/>
          <w:sz w:val="24"/>
          <w:szCs w:val="24"/>
          <w:lang w:val="en-US" w:eastAsia="zh-CN"/>
        </w:rPr>
        <w:t>26.7</w:t>
      </w:r>
      <w:r>
        <w:rPr>
          <w:rFonts w:hint="eastAsia"/>
          <w:sz w:val="24"/>
          <w:szCs w:val="24"/>
        </w:rPr>
        <w:t>政府采购异常低价审查：</w:t>
      </w:r>
    </w:p>
    <w:p w14:paraId="2C51FBF9">
      <w:pPr>
        <w:spacing w:line="500" w:lineRule="exact"/>
        <w:ind w:firstLine="480" w:firstLineChars="200"/>
        <w:jc w:val="left"/>
        <w:rPr>
          <w:sz w:val="24"/>
          <w:szCs w:val="24"/>
        </w:rPr>
      </w:pPr>
      <w:r>
        <w:rPr>
          <w:rFonts w:hint="eastAsia"/>
          <w:sz w:val="24"/>
          <w:szCs w:val="24"/>
        </w:rPr>
        <w:t>1.评审过程中出现下列情形之一的，</w:t>
      </w:r>
      <w:r>
        <w:rPr>
          <w:rFonts w:hint="eastAsia"/>
          <w:sz w:val="24"/>
          <w:szCs w:val="24"/>
          <w:lang w:eastAsia="zh-CN"/>
        </w:rPr>
        <w:t>磋商小组</w:t>
      </w:r>
      <w:r>
        <w:rPr>
          <w:rFonts w:hint="eastAsia"/>
          <w:sz w:val="24"/>
          <w:szCs w:val="24"/>
        </w:rPr>
        <w:t>应当启动异常低价投标（响应）审查程序：</w:t>
      </w:r>
    </w:p>
    <w:p w14:paraId="20A363A3">
      <w:pPr>
        <w:spacing w:line="500" w:lineRule="exact"/>
        <w:ind w:firstLine="480" w:firstLineChars="200"/>
        <w:jc w:val="left"/>
        <w:rPr>
          <w:sz w:val="24"/>
          <w:szCs w:val="24"/>
        </w:rPr>
      </w:pPr>
      <w:r>
        <w:rPr>
          <w:rFonts w:hint="eastAsia"/>
          <w:sz w:val="24"/>
          <w:szCs w:val="24"/>
        </w:rPr>
        <w:t>①投标（响应）报价低于采购项目预算50%的，即投标（响应）报价&lt;采购项目预算×50%；</w:t>
      </w:r>
    </w:p>
    <w:p w14:paraId="53BD59FD">
      <w:pPr>
        <w:spacing w:line="500" w:lineRule="exact"/>
        <w:ind w:firstLine="480" w:firstLineChars="200"/>
        <w:jc w:val="left"/>
        <w:rPr>
          <w:sz w:val="24"/>
          <w:szCs w:val="24"/>
        </w:rPr>
      </w:pPr>
      <w:r>
        <w:rPr>
          <w:rFonts w:hint="eastAsia"/>
          <w:sz w:val="24"/>
          <w:szCs w:val="24"/>
        </w:rPr>
        <w:t>②投标（响应）报价低于采购项目最高限价45%的，即投标（响应）报价&lt;采购项目最高限价×45%；</w:t>
      </w:r>
    </w:p>
    <w:p w14:paraId="16074C18">
      <w:pPr>
        <w:spacing w:line="500" w:lineRule="exact"/>
        <w:ind w:firstLine="480"/>
        <w:jc w:val="left"/>
        <w:rPr>
          <w:sz w:val="24"/>
          <w:szCs w:val="24"/>
        </w:rPr>
      </w:pPr>
      <w:r>
        <w:rPr>
          <w:rFonts w:hint="eastAsia"/>
          <w:sz w:val="24"/>
          <w:szCs w:val="24"/>
        </w:rPr>
        <w:t>③</w:t>
      </w:r>
      <w:r>
        <w:rPr>
          <w:rFonts w:hint="eastAsia"/>
          <w:sz w:val="24"/>
          <w:szCs w:val="24"/>
          <w:lang w:eastAsia="zh-CN"/>
        </w:rPr>
        <w:t>磋商小组</w:t>
      </w:r>
      <w:r>
        <w:rPr>
          <w:rFonts w:hint="eastAsia"/>
          <w:sz w:val="24"/>
          <w:szCs w:val="24"/>
        </w:rPr>
        <w:t>认定的供应商报价过低、有可能影响产品质量或者不能诚信履约的其他情形。</w:t>
      </w:r>
    </w:p>
    <w:p w14:paraId="73899329">
      <w:pPr>
        <w:spacing w:line="500" w:lineRule="exact"/>
        <w:ind w:firstLine="480"/>
        <w:jc w:val="left"/>
        <w:rPr>
          <w:sz w:val="24"/>
          <w:szCs w:val="24"/>
        </w:rPr>
      </w:pPr>
      <w:r>
        <w:rPr>
          <w:rFonts w:hint="eastAsia"/>
          <w:sz w:val="24"/>
          <w:szCs w:val="24"/>
        </w:rPr>
        <w:t>2.启动异常低价投标（响应）审查后，</w:t>
      </w:r>
      <w:r>
        <w:rPr>
          <w:rFonts w:hint="eastAsia"/>
          <w:sz w:val="24"/>
          <w:szCs w:val="24"/>
          <w:lang w:eastAsia="zh-CN"/>
        </w:rPr>
        <w:t>磋商小组</w:t>
      </w:r>
      <w:r>
        <w:rPr>
          <w:rFonts w:hint="eastAsia"/>
          <w:sz w:val="24"/>
          <w:szCs w:val="24"/>
        </w:rPr>
        <w:t>应当要求相关供应商在评标现场合理的时间内，提供项目具体成本测算等与报价合理性相关的书面说明及相关证明材料，对投标（响应）价格作出解释，由</w:t>
      </w:r>
      <w:r>
        <w:rPr>
          <w:rFonts w:hint="eastAsia"/>
          <w:sz w:val="24"/>
          <w:szCs w:val="24"/>
          <w:lang w:eastAsia="zh-CN"/>
        </w:rPr>
        <w:t>磋商小组</w:t>
      </w:r>
      <w:r>
        <w:rPr>
          <w:rFonts w:hint="eastAsia"/>
          <w:sz w:val="24"/>
          <w:szCs w:val="24"/>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hint="eastAsia"/>
          <w:sz w:val="24"/>
          <w:szCs w:val="24"/>
          <w:lang w:eastAsia="zh-CN"/>
        </w:rPr>
        <w:t>磋商小组</w:t>
      </w:r>
      <w:r>
        <w:rPr>
          <w:rFonts w:hint="eastAsia"/>
          <w:sz w:val="24"/>
          <w:szCs w:val="24"/>
        </w:rPr>
        <w:t>应当将其作为无效投标（响应）处理。审查相关情况应当在评审报告中进行记录。</w:t>
      </w:r>
    </w:p>
    <w:p w14:paraId="0C5CDB25">
      <w:pPr>
        <w:spacing w:line="500" w:lineRule="exact"/>
        <w:ind w:firstLine="480" w:firstLineChars="200"/>
        <w:jc w:val="left"/>
        <w:rPr>
          <w:rFonts w:hint="eastAsia"/>
          <w:sz w:val="24"/>
          <w:szCs w:val="24"/>
        </w:rPr>
      </w:pPr>
      <w:r>
        <w:rPr>
          <w:rFonts w:hint="eastAsia"/>
          <w:sz w:val="24"/>
          <w:szCs w:val="24"/>
        </w:rPr>
        <w:t>评委会将书面方式要求其在合理的时间内提供书面说明、证明材料。供应商可在投标（响应）文件中提供项目具体成本测算等与报价合理性相关的书面说明及相关证明材料，对投标（响应）价格作出解释，便于评审。</w:t>
      </w:r>
    </w:p>
    <w:p w14:paraId="6D8A3AC0">
      <w:pPr>
        <w:pStyle w:val="4"/>
        <w:spacing w:before="0" w:after="0" w:line="360" w:lineRule="auto"/>
        <w:ind w:firstLine="562"/>
        <w:jc w:val="left"/>
        <w:rPr>
          <w:sz w:val="28"/>
          <w:szCs w:val="28"/>
        </w:rPr>
      </w:pPr>
      <w:r>
        <w:rPr>
          <w:rFonts w:hint="eastAsia"/>
          <w:sz w:val="28"/>
          <w:szCs w:val="28"/>
        </w:rPr>
        <w:t>27、磋商程序</w:t>
      </w:r>
    </w:p>
    <w:p w14:paraId="4836E0C7">
      <w:pPr>
        <w:spacing w:line="500" w:lineRule="exact"/>
        <w:ind w:firstLine="480"/>
        <w:jc w:val="left"/>
        <w:rPr>
          <w:sz w:val="24"/>
          <w:szCs w:val="24"/>
        </w:rPr>
      </w:pPr>
      <w:r>
        <w:rPr>
          <w:rFonts w:hint="eastAsia"/>
          <w:sz w:val="24"/>
          <w:szCs w:val="24"/>
        </w:rPr>
        <w:t>27.1 对于通过资格审查和符合性审查的供应商，磋商小组将集中与单一供应商分别进行磋商。</w:t>
      </w:r>
    </w:p>
    <w:p w14:paraId="2BAFCF79">
      <w:pPr>
        <w:spacing w:line="500" w:lineRule="exact"/>
        <w:ind w:firstLine="480" w:firstLineChars="200"/>
        <w:jc w:val="left"/>
        <w:rPr>
          <w:sz w:val="24"/>
          <w:szCs w:val="24"/>
        </w:rPr>
      </w:pPr>
      <w:r>
        <w:rPr>
          <w:rFonts w:hint="eastAsia"/>
          <w:sz w:val="24"/>
          <w:szCs w:val="24"/>
        </w:rPr>
        <w:t>在磋商过程中，磋商小组可能根据磋商文件和磋商情况实质性变动的内容有：采购需求中的技术、服务要求以及合同草案条款。对磋商文件作出的实质性变动是磋商文件的有效组成部分，磋商小组将以书面形式向参加磋商的供应商发出“磋商函”。供应商应当按照磋商文件的变动情况和磋商小组的要求重新提交“磋商响应函”，</w:t>
      </w:r>
      <w:r>
        <w:rPr>
          <w:rFonts w:hint="eastAsia" w:ascii="宋体" w:hAnsi="宋体" w:cs="Times New Roman"/>
          <w:bCs/>
          <w:sz w:val="24"/>
          <w:szCs w:val="24"/>
        </w:rPr>
        <w:t>并签章后提交</w:t>
      </w:r>
      <w:r>
        <w:rPr>
          <w:rFonts w:hint="eastAsia"/>
          <w:sz w:val="24"/>
          <w:szCs w:val="24"/>
        </w:rPr>
        <w:t>。供应商未按照要求作出响应的视为放弃磋商，其响应文件按无效响应处理。</w:t>
      </w:r>
    </w:p>
    <w:p w14:paraId="27A9F1A4">
      <w:pPr>
        <w:spacing w:line="500" w:lineRule="exact"/>
        <w:ind w:firstLine="480" w:firstLineChars="200"/>
        <w:jc w:val="left"/>
        <w:rPr>
          <w:sz w:val="24"/>
          <w:szCs w:val="24"/>
        </w:rPr>
      </w:pPr>
      <w:r>
        <w:rPr>
          <w:rFonts w:hint="eastAsia"/>
          <w:sz w:val="24"/>
          <w:szCs w:val="24"/>
        </w:rPr>
        <w:t>已提交响应文件的供应商，在提交最后报价之前，可以根据磋商情况退出磋商采购，应以书面的形式提交“退出磋商函”，</w:t>
      </w:r>
      <w:r>
        <w:rPr>
          <w:rFonts w:hint="eastAsia" w:ascii="宋体" w:hAnsi="宋体" w:cs="Times New Roman"/>
          <w:bCs/>
          <w:sz w:val="24"/>
          <w:szCs w:val="24"/>
        </w:rPr>
        <w:t>并签章后提交</w:t>
      </w:r>
      <w:r>
        <w:rPr>
          <w:rFonts w:hint="eastAsia"/>
          <w:sz w:val="24"/>
          <w:szCs w:val="24"/>
        </w:rPr>
        <w:t>。</w:t>
      </w:r>
    </w:p>
    <w:p w14:paraId="27BFD55C">
      <w:pPr>
        <w:spacing w:line="500" w:lineRule="exact"/>
        <w:ind w:firstLine="480" w:firstLineChars="200"/>
        <w:jc w:val="left"/>
        <w:rPr>
          <w:sz w:val="24"/>
          <w:szCs w:val="24"/>
        </w:rPr>
      </w:pPr>
      <w:r>
        <w:rPr>
          <w:rFonts w:hint="eastAsia"/>
          <w:sz w:val="24"/>
          <w:szCs w:val="24"/>
        </w:rPr>
        <w:t>27.2 磋商文件能够详细列明采购标的的技术、服务要求的，磋商结束后，磋商小组将以书面的形式向所有实质性响应的供应商发出“最后报价要求函”及最后报价格式表，要求所有实质性响应的供应商在规定的时间内提交最后报价。</w:t>
      </w:r>
    </w:p>
    <w:p w14:paraId="295CEEB2">
      <w:pPr>
        <w:spacing w:line="500" w:lineRule="exact"/>
        <w:ind w:firstLine="480" w:firstLineChars="200"/>
        <w:jc w:val="left"/>
        <w:rPr>
          <w:sz w:val="24"/>
          <w:szCs w:val="24"/>
        </w:rPr>
      </w:pPr>
      <w:r>
        <w:rPr>
          <w:rFonts w:hint="eastAsia"/>
          <w:sz w:val="24"/>
          <w:szCs w:val="24"/>
        </w:rPr>
        <w:t>磋商文件不能详细列明采购标的的技术、服务要求，需经磋商由供应商提供最终设计方案或解决方案的，磋商结束后，磋商小组将按照少数服从多数的原则投票推荐3家以上供应商的设计方案或者解决方案，以书面的形式向其发出“最后报价要求函”及最后报价格式表，要求其在规定的时间内提交最后报价。</w:t>
      </w:r>
    </w:p>
    <w:p w14:paraId="7FCA164F">
      <w:pPr>
        <w:spacing w:line="500" w:lineRule="exact"/>
        <w:ind w:firstLine="480" w:firstLineChars="200"/>
        <w:jc w:val="left"/>
        <w:rPr>
          <w:sz w:val="24"/>
          <w:szCs w:val="24"/>
        </w:rPr>
      </w:pPr>
      <w:r>
        <w:rPr>
          <w:rFonts w:hint="eastAsia"/>
          <w:sz w:val="24"/>
          <w:szCs w:val="24"/>
        </w:rPr>
        <w:t>最后报价是供应商响应文件的有效组成部分。符合《政府采购竞争性磋商采购方式理暂行办法》第三条第四项及《财政部关于竞争性磋商采购方式管理暂行办法有关问题的补充通知》（财库〔2015〕124号）规定情形的，提交最后报价的供应商可以为2家。</w:t>
      </w:r>
    </w:p>
    <w:p w14:paraId="690AD2E8">
      <w:pPr>
        <w:spacing w:line="500" w:lineRule="exact"/>
        <w:ind w:firstLine="480" w:firstLineChars="200"/>
        <w:jc w:val="left"/>
        <w:rPr>
          <w:sz w:val="24"/>
          <w:szCs w:val="24"/>
        </w:rPr>
      </w:pPr>
      <w:r>
        <w:rPr>
          <w:rFonts w:hint="eastAsia"/>
          <w:sz w:val="24"/>
          <w:szCs w:val="24"/>
        </w:rPr>
        <w:t>供应商未在磋商小组规定的时间内提交最后报价的视为放弃磋商，其响应文件按无效响应处理。</w:t>
      </w:r>
      <w:r>
        <w:rPr>
          <w:rFonts w:hint="eastAsia" w:ascii="宋体" w:hAnsi="宋体" w:cs="Times New Roman"/>
          <w:b/>
          <w:sz w:val="24"/>
          <w:szCs w:val="24"/>
        </w:rPr>
        <w:t>最后报价须通过书面方式作出。</w:t>
      </w:r>
    </w:p>
    <w:p w14:paraId="074AA21C">
      <w:pPr>
        <w:pStyle w:val="4"/>
        <w:spacing w:before="0" w:after="0" w:line="360" w:lineRule="auto"/>
        <w:ind w:firstLine="562"/>
        <w:jc w:val="left"/>
        <w:rPr>
          <w:sz w:val="28"/>
          <w:szCs w:val="28"/>
        </w:rPr>
      </w:pPr>
      <w:r>
        <w:rPr>
          <w:rFonts w:hint="eastAsia"/>
          <w:sz w:val="28"/>
          <w:szCs w:val="28"/>
        </w:rPr>
        <w:t>28、评审方法与评审标准</w:t>
      </w:r>
    </w:p>
    <w:p w14:paraId="4DB72BE8">
      <w:pPr>
        <w:spacing w:line="500" w:lineRule="exact"/>
        <w:ind w:firstLine="480"/>
        <w:jc w:val="left"/>
        <w:rPr>
          <w:sz w:val="24"/>
          <w:szCs w:val="24"/>
        </w:rPr>
      </w:pPr>
      <w:r>
        <w:rPr>
          <w:rFonts w:hint="eastAsia"/>
          <w:sz w:val="24"/>
          <w:szCs w:val="24"/>
        </w:rPr>
        <w:t>28.1 评审方法。详见本磋商文件第五章。</w:t>
      </w:r>
    </w:p>
    <w:p w14:paraId="008F71EA">
      <w:pPr>
        <w:spacing w:line="500" w:lineRule="exact"/>
        <w:ind w:firstLine="480"/>
        <w:jc w:val="left"/>
        <w:rPr>
          <w:sz w:val="24"/>
          <w:szCs w:val="24"/>
        </w:rPr>
      </w:pPr>
      <w:r>
        <w:rPr>
          <w:rFonts w:hint="eastAsia"/>
          <w:sz w:val="24"/>
          <w:szCs w:val="24"/>
        </w:rPr>
        <w:t>28.2 评审标准。详见本磋商文件第五章。</w:t>
      </w:r>
    </w:p>
    <w:p w14:paraId="6E6A339F">
      <w:pPr>
        <w:pStyle w:val="4"/>
        <w:spacing w:before="0" w:after="0" w:line="360" w:lineRule="auto"/>
        <w:ind w:firstLine="562"/>
        <w:jc w:val="left"/>
        <w:rPr>
          <w:sz w:val="28"/>
          <w:szCs w:val="28"/>
        </w:rPr>
      </w:pPr>
      <w:r>
        <w:rPr>
          <w:rFonts w:hint="eastAsia"/>
          <w:sz w:val="28"/>
          <w:szCs w:val="28"/>
        </w:rPr>
        <w:t>29、未实质性响应磋商文件的情形和采购活动终止</w:t>
      </w:r>
    </w:p>
    <w:p w14:paraId="79874934">
      <w:pPr>
        <w:spacing w:line="500" w:lineRule="exact"/>
        <w:ind w:firstLine="480"/>
        <w:jc w:val="left"/>
        <w:rPr>
          <w:sz w:val="24"/>
          <w:szCs w:val="24"/>
        </w:rPr>
      </w:pPr>
      <w:r>
        <w:rPr>
          <w:rFonts w:hint="eastAsia"/>
          <w:sz w:val="24"/>
          <w:szCs w:val="24"/>
        </w:rPr>
        <w:t>29.1 未实质性响应磋商文件的情形：</w:t>
      </w:r>
    </w:p>
    <w:p w14:paraId="4A28A9E1">
      <w:pPr>
        <w:spacing w:line="500" w:lineRule="exact"/>
        <w:ind w:firstLine="480" w:firstLineChars="200"/>
        <w:jc w:val="left"/>
        <w:rPr>
          <w:sz w:val="24"/>
          <w:szCs w:val="24"/>
        </w:rPr>
      </w:pPr>
      <w:r>
        <w:rPr>
          <w:rFonts w:hint="eastAsia"/>
          <w:sz w:val="24"/>
          <w:szCs w:val="24"/>
        </w:rPr>
        <w:t>（1）供应商未按照磋商文件要求提交响应文件的。</w:t>
      </w:r>
    </w:p>
    <w:p w14:paraId="30308195">
      <w:pPr>
        <w:spacing w:line="500" w:lineRule="exact"/>
        <w:ind w:firstLine="480" w:firstLineChars="200"/>
        <w:jc w:val="left"/>
        <w:rPr>
          <w:sz w:val="24"/>
          <w:szCs w:val="24"/>
        </w:rPr>
      </w:pPr>
      <w:r>
        <w:rPr>
          <w:rFonts w:hint="eastAsia"/>
          <w:sz w:val="24"/>
          <w:szCs w:val="24"/>
        </w:rPr>
        <w:t>（2）</w:t>
      </w:r>
      <w:r>
        <w:rPr>
          <w:rFonts w:hint="eastAsia" w:ascii="宋体" w:hAnsi="宋体" w:cs="Times New Roman"/>
          <w:sz w:val="24"/>
          <w:szCs w:val="24"/>
        </w:rPr>
        <w:t>未按照采购文件规定要求密封、签署、盖章的</w:t>
      </w:r>
      <w:r>
        <w:rPr>
          <w:rFonts w:hint="eastAsia"/>
          <w:sz w:val="24"/>
          <w:szCs w:val="24"/>
        </w:rPr>
        <w:t>。</w:t>
      </w:r>
    </w:p>
    <w:p w14:paraId="19CA284A">
      <w:pPr>
        <w:spacing w:line="500" w:lineRule="exact"/>
        <w:ind w:firstLine="480" w:firstLineChars="200"/>
        <w:jc w:val="left"/>
        <w:rPr>
          <w:sz w:val="24"/>
          <w:szCs w:val="24"/>
        </w:rPr>
      </w:pPr>
      <w:r>
        <w:rPr>
          <w:rFonts w:hint="eastAsia"/>
          <w:sz w:val="24"/>
          <w:szCs w:val="24"/>
        </w:rPr>
        <w:t>（3）供应商不具备磋商文件中规定的资格要求的。</w:t>
      </w:r>
    </w:p>
    <w:p w14:paraId="319BB2F8">
      <w:pPr>
        <w:spacing w:line="500" w:lineRule="exact"/>
        <w:ind w:firstLine="480" w:firstLineChars="200"/>
        <w:jc w:val="left"/>
        <w:rPr>
          <w:sz w:val="24"/>
          <w:szCs w:val="24"/>
        </w:rPr>
      </w:pPr>
      <w:r>
        <w:rPr>
          <w:rFonts w:hint="eastAsia"/>
          <w:sz w:val="24"/>
          <w:szCs w:val="24"/>
        </w:rPr>
        <w:t>（4）供应商被信用中国网站（www.creditchina.gov.cn）、中国政府采购网（www.ccgp.gov.cn）列入失信被执行人、重大税收违法案件当事人名单、政府采购严重违法失信行为记录名单及其他不符合《中华人民共和国政府采购法》第二十二条规定情形的。</w:t>
      </w:r>
    </w:p>
    <w:p w14:paraId="76204E6E">
      <w:pPr>
        <w:spacing w:line="500" w:lineRule="exact"/>
        <w:ind w:firstLine="480" w:firstLineChars="200"/>
        <w:jc w:val="left"/>
        <w:rPr>
          <w:sz w:val="24"/>
          <w:szCs w:val="24"/>
        </w:rPr>
      </w:pPr>
      <w:r>
        <w:rPr>
          <w:rFonts w:hint="eastAsia"/>
          <w:sz w:val="24"/>
          <w:szCs w:val="24"/>
        </w:rPr>
        <w:t>（5）不符合磋商文件规定的实质性要求和条件的。（本磋商文件中斜体且有下划线部分为实质性要求和条件）</w:t>
      </w:r>
    </w:p>
    <w:p w14:paraId="038E9C2E">
      <w:pPr>
        <w:spacing w:line="500" w:lineRule="exact"/>
        <w:ind w:firstLine="480" w:firstLineChars="200"/>
        <w:jc w:val="left"/>
        <w:rPr>
          <w:sz w:val="24"/>
          <w:szCs w:val="24"/>
        </w:rPr>
      </w:pPr>
      <w:r>
        <w:rPr>
          <w:rFonts w:hint="eastAsia"/>
          <w:sz w:val="24"/>
          <w:szCs w:val="24"/>
        </w:rPr>
        <w:t>（6）本项目采购产品（如有）被财政部、国家发改委、生态环境部等列入“节能产品品目清单”“环境标志产品品目清单”强制采购范围，而供应商响应产品不在强制采购范围内或者未按要求提供国家确定的认证机构出具的、处于有效期之内的节能产品认证证书的。</w:t>
      </w:r>
    </w:p>
    <w:p w14:paraId="67EE0EB9">
      <w:pPr>
        <w:spacing w:line="500" w:lineRule="exact"/>
        <w:ind w:firstLine="480" w:firstLineChars="200"/>
        <w:jc w:val="left"/>
        <w:rPr>
          <w:sz w:val="24"/>
          <w:szCs w:val="24"/>
        </w:rPr>
      </w:pPr>
      <w:r>
        <w:rPr>
          <w:rFonts w:hint="eastAsia"/>
          <w:sz w:val="24"/>
          <w:szCs w:val="24"/>
        </w:rPr>
        <w:t>（7）供应商未通过符合性审查的。</w:t>
      </w:r>
    </w:p>
    <w:p w14:paraId="6EEF6AC5">
      <w:pPr>
        <w:spacing w:line="500" w:lineRule="exact"/>
        <w:ind w:firstLine="480" w:firstLineChars="200"/>
        <w:jc w:val="left"/>
        <w:rPr>
          <w:sz w:val="24"/>
          <w:szCs w:val="24"/>
        </w:rPr>
      </w:pPr>
      <w:r>
        <w:rPr>
          <w:rFonts w:hint="eastAsia"/>
          <w:sz w:val="24"/>
          <w:szCs w:val="24"/>
        </w:rPr>
        <w:t>（8）供应商未按照要求对磋商或者最后报价作出响应的。</w:t>
      </w:r>
    </w:p>
    <w:p w14:paraId="57F82674">
      <w:pPr>
        <w:spacing w:line="500" w:lineRule="exact"/>
        <w:ind w:firstLine="480" w:firstLineChars="200"/>
        <w:jc w:val="left"/>
        <w:rPr>
          <w:sz w:val="24"/>
          <w:szCs w:val="24"/>
        </w:rPr>
      </w:pPr>
      <w:r>
        <w:rPr>
          <w:rFonts w:hint="eastAsia"/>
          <w:sz w:val="24"/>
          <w:szCs w:val="24"/>
        </w:rPr>
        <w:t>（</w:t>
      </w:r>
      <w:r>
        <w:rPr>
          <w:sz w:val="24"/>
          <w:szCs w:val="24"/>
        </w:rPr>
        <w:t>9</w:t>
      </w:r>
      <w:r>
        <w:rPr>
          <w:rFonts w:hint="eastAsia"/>
          <w:sz w:val="24"/>
          <w:szCs w:val="24"/>
        </w:rPr>
        <w:t>）供应商提交两个（含两个）以上不同的最后报价的。</w:t>
      </w:r>
    </w:p>
    <w:p w14:paraId="0E63A5AE">
      <w:pPr>
        <w:spacing w:line="500" w:lineRule="exact"/>
        <w:ind w:firstLine="480" w:firstLineChars="200"/>
        <w:jc w:val="left"/>
        <w:rPr>
          <w:sz w:val="24"/>
          <w:szCs w:val="24"/>
        </w:rPr>
      </w:pPr>
      <w:r>
        <w:rPr>
          <w:rFonts w:hint="eastAsia"/>
          <w:sz w:val="24"/>
          <w:szCs w:val="24"/>
        </w:rPr>
        <w:t>（</w:t>
      </w:r>
      <w:r>
        <w:rPr>
          <w:sz w:val="24"/>
          <w:szCs w:val="24"/>
        </w:rPr>
        <w:t>10</w:t>
      </w:r>
      <w:r>
        <w:rPr>
          <w:rFonts w:hint="eastAsia"/>
          <w:sz w:val="24"/>
          <w:szCs w:val="24"/>
        </w:rPr>
        <w:t>）供应商的最后报价超过了采购预算或者最高限价的。</w:t>
      </w:r>
    </w:p>
    <w:p w14:paraId="24A957A6">
      <w:pPr>
        <w:spacing w:line="500" w:lineRule="exact"/>
        <w:ind w:firstLine="480" w:firstLineChars="200"/>
        <w:jc w:val="left"/>
        <w:rPr>
          <w:sz w:val="24"/>
          <w:szCs w:val="24"/>
        </w:rPr>
      </w:pPr>
      <w:r>
        <w:rPr>
          <w:rFonts w:hint="eastAsia"/>
          <w:sz w:val="24"/>
          <w:szCs w:val="24"/>
        </w:rPr>
        <w:t>（1</w:t>
      </w:r>
      <w:r>
        <w:rPr>
          <w:sz w:val="24"/>
          <w:szCs w:val="24"/>
        </w:rPr>
        <w:t>1</w:t>
      </w:r>
      <w:r>
        <w:rPr>
          <w:rFonts w:hint="eastAsia"/>
          <w:sz w:val="24"/>
          <w:szCs w:val="24"/>
        </w:rPr>
        <w:t>）磋商小组认为供应商的最后报价明显低于其他通过符合性审查供应商的最后报价，有可能影响产品质量或者不能诚信履约，将通过书面形式要求其在合理的时间内提供说明，必要时提交相关证明材料，供应商不能证明其报价合理性的。</w:t>
      </w:r>
    </w:p>
    <w:p w14:paraId="3C7155CC">
      <w:pPr>
        <w:spacing w:line="500" w:lineRule="exact"/>
        <w:ind w:firstLine="480" w:firstLineChars="200"/>
        <w:jc w:val="left"/>
        <w:rPr>
          <w:sz w:val="24"/>
          <w:szCs w:val="24"/>
        </w:rPr>
      </w:pPr>
      <w:r>
        <w:rPr>
          <w:rFonts w:hint="eastAsia"/>
          <w:sz w:val="24"/>
          <w:szCs w:val="24"/>
        </w:rPr>
        <w:t>（1</w:t>
      </w:r>
      <w:r>
        <w:rPr>
          <w:sz w:val="24"/>
          <w:szCs w:val="24"/>
        </w:rPr>
        <w:t>2</w:t>
      </w:r>
      <w:r>
        <w:rPr>
          <w:rFonts w:hint="eastAsia"/>
          <w:sz w:val="24"/>
          <w:szCs w:val="24"/>
        </w:rPr>
        <w:t>）响应文件含有采购人不能接受的附加条件的。</w:t>
      </w:r>
    </w:p>
    <w:p w14:paraId="73E6ECDE">
      <w:pPr>
        <w:spacing w:line="500" w:lineRule="exact"/>
        <w:ind w:firstLine="480" w:firstLineChars="200"/>
        <w:jc w:val="left"/>
        <w:rPr>
          <w:sz w:val="24"/>
          <w:szCs w:val="24"/>
        </w:rPr>
      </w:pPr>
      <w:r>
        <w:rPr>
          <w:rFonts w:hint="eastAsia"/>
          <w:sz w:val="24"/>
          <w:szCs w:val="24"/>
        </w:rPr>
        <w:t>（1</w:t>
      </w:r>
      <w:r>
        <w:rPr>
          <w:sz w:val="24"/>
          <w:szCs w:val="24"/>
        </w:rPr>
        <w:t>3</w:t>
      </w:r>
      <w:r>
        <w:rPr>
          <w:rFonts w:hint="eastAsia"/>
          <w:sz w:val="24"/>
          <w:szCs w:val="24"/>
        </w:rPr>
        <w:t>）响应文件未按照磋商文件要求加盖公章的。</w:t>
      </w:r>
    </w:p>
    <w:p w14:paraId="6448B023">
      <w:pPr>
        <w:spacing w:line="500" w:lineRule="exact"/>
        <w:ind w:firstLine="480"/>
        <w:jc w:val="left"/>
        <w:rPr>
          <w:rFonts w:hint="eastAsia"/>
          <w:sz w:val="24"/>
          <w:szCs w:val="24"/>
        </w:rPr>
      </w:pPr>
      <w:r>
        <w:rPr>
          <w:rFonts w:hint="eastAsia"/>
          <w:sz w:val="24"/>
          <w:szCs w:val="24"/>
        </w:rPr>
        <w:t>（1</w:t>
      </w:r>
      <w:r>
        <w:rPr>
          <w:sz w:val="24"/>
          <w:szCs w:val="24"/>
        </w:rPr>
        <w:t>4</w:t>
      </w:r>
      <w:r>
        <w:rPr>
          <w:rFonts w:hint="eastAsia"/>
          <w:sz w:val="24"/>
          <w:szCs w:val="24"/>
        </w:rPr>
        <w:t>）其他法律、法规及本磋商文件规定的属于未实质性响应磋商文件的情形。</w:t>
      </w:r>
    </w:p>
    <w:p w14:paraId="68315761">
      <w:pPr>
        <w:spacing w:line="500" w:lineRule="exact"/>
        <w:ind w:firstLine="480"/>
        <w:jc w:val="left"/>
        <w:rPr>
          <w:sz w:val="24"/>
          <w:szCs w:val="24"/>
        </w:rPr>
      </w:pPr>
      <w:r>
        <w:rPr>
          <w:rFonts w:hint="eastAsia"/>
          <w:sz w:val="24"/>
          <w:szCs w:val="24"/>
        </w:rPr>
        <w:t>29.2 有下列情形之一的，视为供应商串通，响应无效：</w:t>
      </w:r>
    </w:p>
    <w:p w14:paraId="0C93219F">
      <w:pPr>
        <w:spacing w:line="500" w:lineRule="exact"/>
        <w:ind w:firstLine="480"/>
        <w:jc w:val="left"/>
        <w:rPr>
          <w:sz w:val="24"/>
          <w:szCs w:val="24"/>
        </w:rPr>
      </w:pPr>
      <w:r>
        <w:rPr>
          <w:rFonts w:hint="eastAsia"/>
          <w:sz w:val="24"/>
          <w:szCs w:val="24"/>
        </w:rPr>
        <w:t>（1）不同供应商的响应文件由同一单位或者个人编制。</w:t>
      </w:r>
    </w:p>
    <w:p w14:paraId="5765B583">
      <w:pPr>
        <w:spacing w:line="500" w:lineRule="exact"/>
        <w:ind w:firstLine="480"/>
        <w:jc w:val="left"/>
        <w:rPr>
          <w:sz w:val="24"/>
          <w:szCs w:val="24"/>
        </w:rPr>
      </w:pPr>
      <w:r>
        <w:rPr>
          <w:rFonts w:hint="eastAsia"/>
          <w:sz w:val="24"/>
          <w:szCs w:val="24"/>
        </w:rPr>
        <w:t>（2）不同供应商委托同一单位或者个人办理磋商事宜。</w:t>
      </w:r>
    </w:p>
    <w:p w14:paraId="4484C3AA">
      <w:pPr>
        <w:spacing w:line="500" w:lineRule="exact"/>
        <w:ind w:firstLine="480"/>
        <w:jc w:val="left"/>
        <w:rPr>
          <w:sz w:val="24"/>
          <w:szCs w:val="24"/>
        </w:rPr>
      </w:pPr>
      <w:r>
        <w:rPr>
          <w:rFonts w:hint="eastAsia"/>
          <w:sz w:val="24"/>
          <w:szCs w:val="24"/>
        </w:rPr>
        <w:t>（3）不同供应商的响应文件载明的项目管理成员或者联系人员为同一人。</w:t>
      </w:r>
    </w:p>
    <w:p w14:paraId="0DDF3956">
      <w:pPr>
        <w:spacing w:line="500" w:lineRule="exact"/>
        <w:ind w:firstLine="480"/>
        <w:jc w:val="left"/>
        <w:rPr>
          <w:sz w:val="24"/>
          <w:szCs w:val="24"/>
        </w:rPr>
      </w:pPr>
      <w:r>
        <w:rPr>
          <w:rFonts w:hint="eastAsia"/>
          <w:sz w:val="24"/>
          <w:szCs w:val="24"/>
        </w:rPr>
        <w:t>（4）不同供应商的响应文件异常一致或者最后报价呈规律性差异。</w:t>
      </w:r>
    </w:p>
    <w:p w14:paraId="171FB149">
      <w:pPr>
        <w:spacing w:line="500" w:lineRule="exact"/>
        <w:ind w:firstLine="480"/>
        <w:jc w:val="left"/>
        <w:rPr>
          <w:sz w:val="24"/>
          <w:szCs w:val="24"/>
        </w:rPr>
      </w:pPr>
      <w:r>
        <w:rPr>
          <w:rFonts w:hint="eastAsia"/>
          <w:sz w:val="24"/>
          <w:szCs w:val="24"/>
        </w:rPr>
        <w:t>（5）不同供应商的响应文件相互混装。</w:t>
      </w:r>
    </w:p>
    <w:p w14:paraId="5F2F68B2">
      <w:pPr>
        <w:spacing w:line="500" w:lineRule="exact"/>
        <w:ind w:firstLine="480"/>
        <w:jc w:val="left"/>
        <w:rPr>
          <w:sz w:val="24"/>
          <w:szCs w:val="24"/>
        </w:rPr>
      </w:pPr>
      <w:r>
        <w:rPr>
          <w:rFonts w:hint="eastAsia"/>
          <w:sz w:val="24"/>
          <w:szCs w:val="24"/>
        </w:rPr>
        <w:t>29.3 采购活动终止的情形：</w:t>
      </w:r>
    </w:p>
    <w:p w14:paraId="78F22EC5">
      <w:pPr>
        <w:spacing w:line="500" w:lineRule="exact"/>
        <w:ind w:firstLine="480" w:firstLineChars="200"/>
        <w:jc w:val="left"/>
        <w:rPr>
          <w:sz w:val="24"/>
          <w:szCs w:val="24"/>
        </w:rPr>
      </w:pPr>
      <w:r>
        <w:rPr>
          <w:rFonts w:hint="eastAsia"/>
          <w:sz w:val="24"/>
          <w:szCs w:val="24"/>
        </w:rPr>
        <w:t>（1）磋商文件规定的截止时间递交响应文件的供应商不足三家的。</w:t>
      </w:r>
    </w:p>
    <w:p w14:paraId="1B169D65">
      <w:pPr>
        <w:spacing w:line="500" w:lineRule="exact"/>
        <w:ind w:firstLine="480" w:firstLineChars="200"/>
        <w:jc w:val="left"/>
        <w:rPr>
          <w:sz w:val="24"/>
          <w:szCs w:val="24"/>
        </w:rPr>
      </w:pPr>
      <w:r>
        <w:rPr>
          <w:rFonts w:hint="eastAsia"/>
          <w:sz w:val="24"/>
          <w:szCs w:val="24"/>
        </w:rPr>
        <w:t>（2）磋商小组认定磋商文件存在歧义、重大缺陷导致评审工作无法进行，或者磋商文件内容违反国家有关强制性规定的。</w:t>
      </w:r>
    </w:p>
    <w:p w14:paraId="11C857A8">
      <w:pPr>
        <w:spacing w:line="500" w:lineRule="exact"/>
        <w:ind w:firstLine="480" w:firstLineChars="200"/>
        <w:jc w:val="left"/>
        <w:rPr>
          <w:sz w:val="24"/>
          <w:szCs w:val="24"/>
        </w:rPr>
      </w:pPr>
      <w:r>
        <w:rPr>
          <w:rFonts w:hint="eastAsia"/>
          <w:sz w:val="24"/>
          <w:szCs w:val="24"/>
        </w:rPr>
        <w:t>（3）除本磋商文件第二章第27.2条第三款规定的情形外，符合专业条件的供应商或者对磋商文件作实质响应的供应商不足三家的。</w:t>
      </w:r>
    </w:p>
    <w:p w14:paraId="4B712C5D">
      <w:pPr>
        <w:spacing w:line="500" w:lineRule="exact"/>
        <w:ind w:firstLine="480" w:firstLineChars="200"/>
        <w:jc w:val="left"/>
        <w:rPr>
          <w:sz w:val="24"/>
          <w:szCs w:val="24"/>
        </w:rPr>
      </w:pPr>
      <w:r>
        <w:rPr>
          <w:rFonts w:hint="eastAsia"/>
          <w:sz w:val="24"/>
          <w:szCs w:val="24"/>
        </w:rPr>
        <w:t>（4）出现影响采购公正的违法、违规行为的。</w:t>
      </w:r>
    </w:p>
    <w:p w14:paraId="060A723B">
      <w:pPr>
        <w:spacing w:line="500" w:lineRule="exact"/>
        <w:ind w:firstLine="480" w:firstLineChars="200"/>
        <w:jc w:val="left"/>
        <w:rPr>
          <w:sz w:val="24"/>
          <w:szCs w:val="24"/>
        </w:rPr>
      </w:pPr>
      <w:r>
        <w:rPr>
          <w:rFonts w:hint="eastAsia"/>
          <w:sz w:val="24"/>
          <w:szCs w:val="24"/>
        </w:rPr>
        <w:t>（5）因重大变故，采购任务取消的。</w:t>
      </w:r>
    </w:p>
    <w:p w14:paraId="28E7F4B9">
      <w:pPr>
        <w:pStyle w:val="3"/>
        <w:spacing w:before="0" w:after="0" w:line="360" w:lineRule="auto"/>
        <w:rPr>
          <w:rFonts w:ascii="黑体" w:hAnsi="黑体" w:eastAsia="黑体"/>
          <w:b w:val="0"/>
        </w:rPr>
      </w:pPr>
      <w:r>
        <w:rPr>
          <w:rFonts w:hint="eastAsia" w:ascii="黑体" w:hAnsi="黑体" w:eastAsia="黑体"/>
          <w:b w:val="0"/>
        </w:rPr>
        <w:t>六、成交</w:t>
      </w:r>
    </w:p>
    <w:p w14:paraId="36475A90">
      <w:pPr>
        <w:pStyle w:val="4"/>
        <w:spacing w:before="0" w:after="0" w:line="360" w:lineRule="auto"/>
        <w:ind w:firstLine="562"/>
        <w:jc w:val="left"/>
        <w:rPr>
          <w:sz w:val="28"/>
          <w:szCs w:val="28"/>
        </w:rPr>
      </w:pPr>
      <w:r>
        <w:rPr>
          <w:rFonts w:hint="eastAsia"/>
          <w:sz w:val="28"/>
          <w:szCs w:val="28"/>
        </w:rPr>
        <w:t>30、确定成交单位</w:t>
      </w:r>
    </w:p>
    <w:p w14:paraId="5EEB3CB7">
      <w:pPr>
        <w:tabs>
          <w:tab w:val="left" w:pos="900"/>
        </w:tabs>
        <w:spacing w:line="500" w:lineRule="exact"/>
        <w:ind w:firstLine="480" w:firstLineChars="200"/>
        <w:jc w:val="left"/>
        <w:rPr>
          <w:rFonts w:hint="eastAsia" w:ascii="宋体" w:hAnsi="宋体" w:eastAsia="宋体" w:cs="Times New Roman"/>
          <w:sz w:val="24"/>
          <w:szCs w:val="24"/>
        </w:rPr>
      </w:pPr>
      <w:r>
        <w:rPr>
          <w:rFonts w:hint="eastAsia"/>
          <w:sz w:val="24"/>
          <w:szCs w:val="24"/>
        </w:rPr>
        <w:t>30.1</w:t>
      </w:r>
      <w:r>
        <w:rPr>
          <w:rFonts w:hint="eastAsia" w:ascii="宋体" w:hAnsi="宋体" w:eastAsia="宋体" w:cs="Times New Roman"/>
          <w:sz w:val="24"/>
          <w:szCs w:val="24"/>
        </w:rPr>
        <w:t xml:space="preserve"> 磋商小组根据综合评分情况，按照评审得分由高到低顺序推荐3名成交候选供应商，并编写评审报告。符合《政府采购竞争性磋商采购方式管理暂行办法》第三条第四项及《财政部关于竞争性磋商采购方式管理暂行办法有关问题的补充通知》（财库〔2015〕124号）规定情形的，可以推荐2家成交候选供应商。评审得分相同的，按照最后报价由低到高的顺序推荐。评审得分且最后报价相同的，按照技术指标优劣顺序推荐。</w:t>
      </w:r>
    </w:p>
    <w:p w14:paraId="78BD53C8">
      <w:pPr>
        <w:tabs>
          <w:tab w:val="left" w:pos="900"/>
        </w:tabs>
        <w:spacing w:line="500" w:lineRule="exact"/>
        <w:ind w:firstLine="480" w:firstLineChars="200"/>
        <w:jc w:val="left"/>
        <w:rPr>
          <w:sz w:val="24"/>
          <w:szCs w:val="24"/>
        </w:rPr>
      </w:pPr>
      <w:r>
        <w:rPr>
          <w:rFonts w:hint="eastAsia"/>
          <w:sz w:val="24"/>
          <w:szCs w:val="24"/>
        </w:rPr>
        <w:t xml:space="preserve">30.2 </w:t>
      </w:r>
      <w:r>
        <w:rPr>
          <w:rFonts w:hint="eastAsia" w:ascii="宋体" w:hAnsi="宋体" w:eastAsia="宋体" w:cs="Times New Roman"/>
          <w:sz w:val="24"/>
          <w:szCs w:val="24"/>
        </w:rPr>
        <w:t>根据采购人的授权，磋商小组直接确定排名第一的成交候选供应商为成交供应商，采购代理机构将在</w:t>
      </w:r>
      <w:r>
        <w:rPr>
          <w:rFonts w:hint="eastAsia" w:ascii="宋体" w:hAnsi="宋体" w:eastAsia="宋体" w:cs="Times New Roman"/>
          <w:sz w:val="24"/>
          <w:szCs w:val="24"/>
          <w:lang w:eastAsia="zh-CN"/>
        </w:rPr>
        <w:t>江苏招标采购公共服务平台</w:t>
      </w:r>
      <w:r>
        <w:rPr>
          <w:rFonts w:hint="eastAsia"/>
          <w:sz w:val="24"/>
          <w:szCs w:val="24"/>
        </w:rPr>
        <w:t>发布成交结果公告</w:t>
      </w:r>
      <w:r>
        <w:rPr>
          <w:rFonts w:hint="eastAsia" w:ascii="宋体" w:hAnsi="宋体" w:eastAsia="宋体" w:cs="Times New Roman"/>
          <w:sz w:val="24"/>
          <w:szCs w:val="24"/>
        </w:rPr>
        <w:t>，成交公告期限为1个工作日。</w:t>
      </w:r>
    </w:p>
    <w:p w14:paraId="45478AB0">
      <w:pPr>
        <w:spacing w:line="500" w:lineRule="exact"/>
        <w:ind w:firstLine="480" w:firstLineChars="200"/>
        <w:jc w:val="left"/>
        <w:rPr>
          <w:sz w:val="24"/>
          <w:szCs w:val="24"/>
        </w:rPr>
      </w:pPr>
      <w:r>
        <w:rPr>
          <w:rFonts w:hint="eastAsia"/>
          <w:sz w:val="24"/>
          <w:szCs w:val="24"/>
        </w:rPr>
        <w:t>30.3 若有充分证据证明，成交供应商存在下列情形之一的，一经查实，将被取消成交资格：</w:t>
      </w:r>
    </w:p>
    <w:p w14:paraId="6FA19FFB">
      <w:pPr>
        <w:spacing w:line="500" w:lineRule="exact"/>
        <w:ind w:firstLine="480" w:firstLineChars="200"/>
        <w:jc w:val="left"/>
        <w:rPr>
          <w:sz w:val="24"/>
          <w:szCs w:val="24"/>
        </w:rPr>
      </w:pPr>
      <w:r>
        <w:rPr>
          <w:rFonts w:hint="eastAsia"/>
          <w:sz w:val="24"/>
          <w:szCs w:val="24"/>
        </w:rPr>
        <w:t>（1）提供虚假材料谋取中标、成交的。</w:t>
      </w:r>
    </w:p>
    <w:p w14:paraId="1FB6FAA2">
      <w:pPr>
        <w:spacing w:line="500" w:lineRule="exact"/>
        <w:ind w:firstLine="480" w:firstLineChars="200"/>
        <w:jc w:val="left"/>
        <w:rPr>
          <w:sz w:val="24"/>
          <w:szCs w:val="24"/>
        </w:rPr>
      </w:pPr>
      <w:r>
        <w:rPr>
          <w:rFonts w:hint="eastAsia"/>
          <w:sz w:val="24"/>
          <w:szCs w:val="24"/>
        </w:rPr>
        <w:t>（2）采取不正当手段诋毁、排挤其他供应商的。</w:t>
      </w:r>
    </w:p>
    <w:p w14:paraId="437D5AE4">
      <w:pPr>
        <w:spacing w:line="500" w:lineRule="exact"/>
        <w:ind w:firstLine="480" w:firstLineChars="200"/>
        <w:jc w:val="left"/>
        <w:rPr>
          <w:sz w:val="24"/>
          <w:szCs w:val="24"/>
        </w:rPr>
      </w:pPr>
      <w:r>
        <w:rPr>
          <w:rFonts w:hint="eastAsia"/>
          <w:sz w:val="24"/>
          <w:szCs w:val="24"/>
        </w:rPr>
        <w:t>（3）与采购人、其他供应商或者代理机构恶意串通的。</w:t>
      </w:r>
    </w:p>
    <w:p w14:paraId="668B4D15">
      <w:pPr>
        <w:spacing w:line="500" w:lineRule="exact"/>
        <w:ind w:firstLine="480" w:firstLineChars="200"/>
        <w:jc w:val="left"/>
        <w:rPr>
          <w:sz w:val="24"/>
          <w:szCs w:val="24"/>
        </w:rPr>
      </w:pPr>
      <w:r>
        <w:rPr>
          <w:rFonts w:hint="eastAsia"/>
          <w:sz w:val="24"/>
          <w:szCs w:val="24"/>
        </w:rPr>
        <w:t>（4）向采购人、代理机构行贿或者提供其他不正当利益的。</w:t>
      </w:r>
    </w:p>
    <w:p w14:paraId="2A4B18C0">
      <w:pPr>
        <w:spacing w:line="500" w:lineRule="exact"/>
        <w:ind w:firstLine="480" w:firstLineChars="200"/>
        <w:jc w:val="left"/>
        <w:rPr>
          <w:sz w:val="24"/>
          <w:szCs w:val="24"/>
        </w:rPr>
      </w:pPr>
      <w:r>
        <w:rPr>
          <w:rFonts w:hint="eastAsia"/>
          <w:sz w:val="24"/>
          <w:szCs w:val="24"/>
        </w:rPr>
        <w:t>（5）属于本磋商文件规定的无效情形，但在评审过程中又未被磋商小组发现的。</w:t>
      </w:r>
    </w:p>
    <w:p w14:paraId="5D405CEF">
      <w:pPr>
        <w:spacing w:line="500" w:lineRule="exact"/>
        <w:ind w:firstLine="480" w:firstLineChars="200"/>
        <w:jc w:val="left"/>
        <w:rPr>
          <w:sz w:val="24"/>
          <w:szCs w:val="24"/>
        </w:rPr>
      </w:pPr>
      <w:r>
        <w:rPr>
          <w:rFonts w:hint="eastAsia"/>
          <w:sz w:val="24"/>
          <w:szCs w:val="24"/>
        </w:rPr>
        <w:t>（6）成交后无正当理由拒不与采购人签订政府采购合同或者未按照磋商文件确定的事项签订政府采购合同的。</w:t>
      </w:r>
    </w:p>
    <w:p w14:paraId="0631DD27">
      <w:pPr>
        <w:spacing w:line="500" w:lineRule="exact"/>
        <w:ind w:firstLine="480" w:firstLineChars="200"/>
        <w:jc w:val="left"/>
        <w:rPr>
          <w:sz w:val="24"/>
          <w:szCs w:val="24"/>
        </w:rPr>
      </w:pPr>
      <w:r>
        <w:rPr>
          <w:rFonts w:hint="eastAsia"/>
          <w:sz w:val="24"/>
          <w:szCs w:val="24"/>
        </w:rPr>
        <w:t>（7）将政府采购合同转包的。</w:t>
      </w:r>
    </w:p>
    <w:p w14:paraId="050958B9">
      <w:pPr>
        <w:pStyle w:val="4"/>
        <w:spacing w:before="0" w:after="0" w:line="360" w:lineRule="auto"/>
        <w:ind w:firstLine="562"/>
        <w:jc w:val="left"/>
        <w:rPr>
          <w:sz w:val="28"/>
          <w:szCs w:val="28"/>
        </w:rPr>
      </w:pPr>
      <w:r>
        <w:rPr>
          <w:rFonts w:hint="eastAsia"/>
          <w:sz w:val="28"/>
          <w:szCs w:val="28"/>
        </w:rPr>
        <w:t>31、成交通知书</w:t>
      </w:r>
    </w:p>
    <w:p w14:paraId="50CC7EAE">
      <w:pPr>
        <w:spacing w:line="500" w:lineRule="exact"/>
        <w:ind w:firstLine="480" w:firstLineChars="200"/>
        <w:jc w:val="left"/>
        <w:rPr>
          <w:sz w:val="24"/>
          <w:szCs w:val="24"/>
        </w:rPr>
      </w:pPr>
      <w:r>
        <w:rPr>
          <w:rFonts w:hint="eastAsia"/>
          <w:sz w:val="24"/>
          <w:szCs w:val="24"/>
        </w:rPr>
        <w:t>31.1 成交结果确定后，代理机构将向成交供应商发出成交通知书。请成交供应商在成交结果公告届满之日起30日内。</w:t>
      </w:r>
    </w:p>
    <w:p w14:paraId="5429E630">
      <w:pPr>
        <w:spacing w:line="500" w:lineRule="exact"/>
        <w:ind w:firstLine="480" w:firstLineChars="200"/>
        <w:jc w:val="left"/>
        <w:rPr>
          <w:sz w:val="24"/>
          <w:szCs w:val="24"/>
        </w:rPr>
      </w:pPr>
      <w:r>
        <w:rPr>
          <w:rFonts w:hint="eastAsia"/>
          <w:sz w:val="24"/>
          <w:szCs w:val="24"/>
        </w:rPr>
        <w:t>31.2 成交通知书将作为政府采购合同的一个组成部分。对采购人和成交供应商均具有法律效力。成交通知书发出后，采购人改变成交结果的，或者成交供应商放弃成交项目的，应当依法承担法律责任。</w:t>
      </w:r>
    </w:p>
    <w:p w14:paraId="04D94929">
      <w:pPr>
        <w:pStyle w:val="3"/>
        <w:spacing w:before="0" w:after="0" w:line="360" w:lineRule="auto"/>
        <w:rPr>
          <w:rFonts w:ascii="黑体" w:hAnsi="黑体" w:eastAsia="黑体"/>
          <w:b w:val="0"/>
        </w:rPr>
      </w:pPr>
      <w:r>
        <w:rPr>
          <w:rFonts w:hint="eastAsia" w:ascii="黑体" w:hAnsi="黑体" w:eastAsia="黑体"/>
          <w:b w:val="0"/>
        </w:rPr>
        <w:t>七、授予合同</w:t>
      </w:r>
    </w:p>
    <w:p w14:paraId="72E12B68">
      <w:pPr>
        <w:pStyle w:val="4"/>
        <w:spacing w:before="0" w:after="0" w:line="360" w:lineRule="auto"/>
        <w:ind w:firstLine="562"/>
        <w:jc w:val="left"/>
        <w:rPr>
          <w:sz w:val="28"/>
          <w:szCs w:val="28"/>
        </w:rPr>
      </w:pPr>
      <w:r>
        <w:rPr>
          <w:rFonts w:hint="eastAsia"/>
          <w:sz w:val="28"/>
          <w:szCs w:val="28"/>
        </w:rPr>
        <w:t>32、签订合同</w:t>
      </w:r>
    </w:p>
    <w:p w14:paraId="0A21B79B">
      <w:pPr>
        <w:spacing w:line="500" w:lineRule="exact"/>
        <w:ind w:firstLine="480"/>
        <w:jc w:val="left"/>
        <w:rPr>
          <w:sz w:val="24"/>
          <w:szCs w:val="24"/>
        </w:rPr>
      </w:pPr>
      <w:r>
        <w:rPr>
          <w:rFonts w:hint="eastAsia"/>
          <w:sz w:val="24"/>
          <w:szCs w:val="24"/>
        </w:rPr>
        <w:t>32.1 成交供应商应当在成交通知书发出之日起三十日内，按照磋商文件和成交供应商响应文件的规定，与采购人签订政府采购合同。</w:t>
      </w:r>
    </w:p>
    <w:p w14:paraId="6BA93479">
      <w:pPr>
        <w:spacing w:line="500" w:lineRule="exact"/>
        <w:ind w:firstLine="480"/>
        <w:jc w:val="left"/>
        <w:rPr>
          <w:sz w:val="24"/>
          <w:szCs w:val="24"/>
        </w:rPr>
      </w:pPr>
      <w:r>
        <w:rPr>
          <w:rFonts w:hint="eastAsia"/>
          <w:sz w:val="24"/>
          <w:szCs w:val="24"/>
        </w:rPr>
        <w:t>32.2 磋商文件、成交供应商的响应文件及磋商采购过程中有关澄清、承诺、磋商响应等文件均应作为合同附件。</w:t>
      </w:r>
    </w:p>
    <w:p w14:paraId="41264F6C">
      <w:pPr>
        <w:spacing w:line="500" w:lineRule="exact"/>
        <w:ind w:firstLine="480"/>
        <w:jc w:val="left"/>
        <w:rPr>
          <w:sz w:val="24"/>
          <w:szCs w:val="24"/>
        </w:rPr>
      </w:pPr>
      <w:r>
        <w:rPr>
          <w:rFonts w:hint="eastAsia"/>
          <w:sz w:val="24"/>
          <w:szCs w:val="24"/>
        </w:rPr>
        <w:t>32.3 签订合同后，成交供应商不得将合同标的转包。未经采购人同意，成交供应商也不得采用分包的形式履行合同，否则采购人有权终止合同。转包或分包造成采购人损失的，成交供应商应承担相应赔偿责任。</w:t>
      </w:r>
    </w:p>
    <w:p w14:paraId="78232937">
      <w:pPr>
        <w:pStyle w:val="4"/>
        <w:spacing w:before="0" w:after="0" w:line="360" w:lineRule="auto"/>
        <w:ind w:firstLine="562"/>
        <w:jc w:val="left"/>
        <w:rPr>
          <w:sz w:val="28"/>
          <w:szCs w:val="28"/>
        </w:rPr>
      </w:pPr>
      <w:r>
        <w:rPr>
          <w:rFonts w:hint="eastAsia"/>
          <w:sz w:val="28"/>
          <w:szCs w:val="28"/>
        </w:rPr>
        <w:t>33、合同标的的追加</w:t>
      </w:r>
    </w:p>
    <w:p w14:paraId="0850F0E5">
      <w:pPr>
        <w:spacing w:line="500" w:lineRule="exact"/>
        <w:ind w:firstLine="480"/>
        <w:jc w:val="left"/>
        <w:rPr>
          <w:sz w:val="24"/>
          <w:szCs w:val="24"/>
        </w:rPr>
      </w:pPr>
      <w:r>
        <w:rPr>
          <w:rFonts w:hint="eastAsia"/>
          <w:sz w:val="24"/>
          <w:szCs w:val="24"/>
        </w:rPr>
        <w:t>33.1 政府采购合同履行中，采购人需追加与合同标的相同的货物、工程或者服务的，在不改变合同其他条款的前提下，可以按照《中华人民共和国政府采购法》第四十九条规定，与供应商协商签订补充合同，但所有补充合同的采购金额不得超过原合同采购金额的百分之十。</w:t>
      </w:r>
    </w:p>
    <w:p w14:paraId="2B1BDBF6">
      <w:pPr>
        <w:pStyle w:val="4"/>
        <w:spacing w:before="0" w:after="0" w:line="360" w:lineRule="auto"/>
        <w:ind w:firstLine="562"/>
        <w:jc w:val="left"/>
        <w:rPr>
          <w:sz w:val="28"/>
          <w:szCs w:val="28"/>
        </w:rPr>
      </w:pPr>
      <w:r>
        <w:rPr>
          <w:rFonts w:hint="eastAsia"/>
          <w:sz w:val="28"/>
          <w:szCs w:val="28"/>
        </w:rPr>
        <w:t>34、政府采购履约资金扶持政策</w:t>
      </w:r>
    </w:p>
    <w:p w14:paraId="3AC5CDE5">
      <w:pPr>
        <w:spacing w:line="500" w:lineRule="exact"/>
        <w:ind w:firstLine="480"/>
        <w:jc w:val="left"/>
        <w:rPr>
          <w:sz w:val="24"/>
          <w:szCs w:val="24"/>
        </w:rPr>
      </w:pPr>
      <w:r>
        <w:rPr>
          <w:rFonts w:hint="eastAsia"/>
          <w:sz w:val="24"/>
          <w:szCs w:val="24"/>
        </w:rPr>
        <w:t>34.1 成交供应商可凭政府采购合同办理融资贷款，详情请见江苏政府采购网“政采贷”专栏。</w:t>
      </w:r>
    </w:p>
    <w:p w14:paraId="5E34FFEC">
      <w:pPr>
        <w:pStyle w:val="3"/>
        <w:spacing w:before="0" w:after="0" w:line="360" w:lineRule="auto"/>
        <w:rPr>
          <w:rFonts w:ascii="黑体" w:hAnsi="黑体" w:eastAsia="黑体"/>
          <w:b w:val="0"/>
        </w:rPr>
      </w:pPr>
      <w:r>
        <w:rPr>
          <w:rFonts w:hint="eastAsia" w:ascii="黑体" w:hAnsi="黑体" w:eastAsia="黑体"/>
          <w:b w:val="0"/>
        </w:rPr>
        <w:t>八、询问与质疑</w:t>
      </w:r>
    </w:p>
    <w:p w14:paraId="4E9A152E">
      <w:pPr>
        <w:pStyle w:val="4"/>
        <w:spacing w:before="0" w:after="0" w:line="360" w:lineRule="auto"/>
        <w:ind w:firstLine="562"/>
        <w:jc w:val="left"/>
        <w:rPr>
          <w:sz w:val="28"/>
          <w:szCs w:val="28"/>
        </w:rPr>
      </w:pPr>
      <w:r>
        <w:rPr>
          <w:rFonts w:hint="eastAsia"/>
          <w:sz w:val="28"/>
          <w:szCs w:val="28"/>
        </w:rPr>
        <w:t>35、询问</w:t>
      </w:r>
    </w:p>
    <w:p w14:paraId="61F4D3C6">
      <w:pPr>
        <w:spacing w:line="500" w:lineRule="exact"/>
        <w:ind w:firstLine="480"/>
        <w:jc w:val="left"/>
        <w:rPr>
          <w:sz w:val="24"/>
          <w:szCs w:val="24"/>
        </w:rPr>
      </w:pPr>
      <w:r>
        <w:rPr>
          <w:rFonts w:hint="eastAsia"/>
          <w:sz w:val="24"/>
          <w:szCs w:val="24"/>
        </w:rPr>
        <w:t>35.1 供应商对政府采购活动事项有疑问的，可以提出询问，采购人或者代理机构应当在3个工作日内对供应商依法提出的询问作出答复，但答复的内容不得涉及商业秘密。供应商提出的询问超出采购人对代理机构委托授权范围的，代理机构应当告知其向采购人提出。</w:t>
      </w:r>
    </w:p>
    <w:p w14:paraId="0535944C">
      <w:pPr>
        <w:pStyle w:val="4"/>
        <w:spacing w:before="0" w:after="0" w:line="360" w:lineRule="auto"/>
        <w:ind w:firstLine="562"/>
        <w:jc w:val="left"/>
        <w:rPr>
          <w:sz w:val="28"/>
          <w:szCs w:val="28"/>
        </w:rPr>
      </w:pPr>
      <w:r>
        <w:rPr>
          <w:rFonts w:hint="eastAsia"/>
          <w:sz w:val="28"/>
          <w:szCs w:val="28"/>
        </w:rPr>
        <w:t>36、质疑提出</w:t>
      </w:r>
    </w:p>
    <w:p w14:paraId="40469503">
      <w:pPr>
        <w:spacing w:line="500" w:lineRule="exact"/>
        <w:ind w:firstLine="480"/>
        <w:jc w:val="left"/>
        <w:rPr>
          <w:sz w:val="24"/>
          <w:szCs w:val="24"/>
        </w:rPr>
      </w:pPr>
      <w:r>
        <w:rPr>
          <w:rFonts w:hint="eastAsia"/>
          <w:sz w:val="24"/>
          <w:szCs w:val="24"/>
        </w:rPr>
        <w:t>36.1 提出质疑的供应商应当是参与所质疑项目采购活动的供应商。</w:t>
      </w:r>
    </w:p>
    <w:p w14:paraId="54E09873">
      <w:pPr>
        <w:spacing w:line="500" w:lineRule="exact"/>
        <w:ind w:firstLine="480"/>
        <w:jc w:val="left"/>
        <w:rPr>
          <w:sz w:val="24"/>
          <w:szCs w:val="24"/>
        </w:rPr>
      </w:pPr>
      <w:r>
        <w:rPr>
          <w:rFonts w:hint="eastAsia"/>
          <w:sz w:val="24"/>
          <w:szCs w:val="24"/>
        </w:rPr>
        <w:t>36.2 供应商认为采购文件、采购过程、采购结果使自己的权益受到损害的，可以在知道或者应知其权益受到损害之日（获取采购文件之日、成交结果公告发布之日）起七个工作日内以书面形式向采购人、代理机构提出质疑。</w:t>
      </w:r>
    </w:p>
    <w:p w14:paraId="32620505">
      <w:pPr>
        <w:spacing w:line="500" w:lineRule="exact"/>
        <w:ind w:firstLine="480"/>
        <w:jc w:val="left"/>
        <w:rPr>
          <w:sz w:val="24"/>
          <w:szCs w:val="24"/>
        </w:rPr>
      </w:pPr>
      <w:r>
        <w:rPr>
          <w:rFonts w:hint="eastAsia"/>
          <w:sz w:val="24"/>
          <w:szCs w:val="24"/>
        </w:rPr>
        <w:t>供应商应当在法定质疑期内一次性提出针对同一采购程序环节的质疑，供应商如在法定期限内对同一采购程序环节提出多次质疑的，采购人、代理机构将只对供应商第一次质疑作出答复。</w:t>
      </w:r>
    </w:p>
    <w:p w14:paraId="070C6A14">
      <w:pPr>
        <w:spacing w:line="500" w:lineRule="exact"/>
        <w:ind w:firstLine="480"/>
        <w:jc w:val="left"/>
        <w:rPr>
          <w:sz w:val="24"/>
          <w:szCs w:val="24"/>
        </w:rPr>
      </w:pPr>
      <w:r>
        <w:rPr>
          <w:rFonts w:hint="eastAsia"/>
          <w:sz w:val="24"/>
          <w:szCs w:val="24"/>
        </w:rPr>
        <w:t>未按照采购公告要求获取采购文件的供应商，视为未参与该项目采购活动，不具备对该采购文件提出质疑的法定权利。</w:t>
      </w:r>
    </w:p>
    <w:p w14:paraId="3029D4AE">
      <w:pPr>
        <w:spacing w:line="500" w:lineRule="exact"/>
        <w:ind w:firstLine="480"/>
        <w:jc w:val="left"/>
        <w:rPr>
          <w:sz w:val="24"/>
          <w:szCs w:val="24"/>
        </w:rPr>
      </w:pPr>
      <w:r>
        <w:rPr>
          <w:rFonts w:hint="eastAsia"/>
          <w:sz w:val="24"/>
          <w:szCs w:val="24"/>
        </w:rPr>
        <w:t>36.3 提出质疑时，必须坚持“实事求是”的原则，不能臆测。属于须由法定部门调查、侦查或先行作出相关认定的事项，质疑供应商应当依法申请具有法定职权的部门查清、认定，并将相关结果提供给采购人、代理机构。采购人、代理机构不具有法定调查、认定权限。</w:t>
      </w:r>
    </w:p>
    <w:p w14:paraId="313485A8">
      <w:pPr>
        <w:spacing w:line="500" w:lineRule="exact"/>
        <w:ind w:firstLine="480"/>
        <w:jc w:val="left"/>
        <w:rPr>
          <w:sz w:val="24"/>
          <w:szCs w:val="24"/>
        </w:rPr>
      </w:pPr>
      <w:r>
        <w:rPr>
          <w:rFonts w:hint="eastAsia"/>
          <w:sz w:val="24"/>
          <w:szCs w:val="24"/>
        </w:rPr>
        <w:t>36.4 质疑函的接收方式为供应商书面原件提交。联系部门、联系电话和通讯地址详见磋商文件第一章。质疑实行实名制，不得进行虚假、恶意质疑。</w:t>
      </w:r>
    </w:p>
    <w:p w14:paraId="15979B46">
      <w:pPr>
        <w:spacing w:line="500" w:lineRule="exact"/>
        <w:ind w:firstLine="480"/>
        <w:jc w:val="left"/>
        <w:rPr>
          <w:sz w:val="24"/>
          <w:szCs w:val="24"/>
        </w:rPr>
      </w:pPr>
      <w:r>
        <w:rPr>
          <w:rFonts w:hint="eastAsia"/>
          <w:sz w:val="24"/>
          <w:szCs w:val="24"/>
        </w:rPr>
        <w:t>36.5 质疑函应当使用范本，详见磋商文件第六章。供应商提出质疑应当提交质疑函和必要的证明材料，应当包括下列内容：</w:t>
      </w:r>
    </w:p>
    <w:p w14:paraId="0DCBF75D">
      <w:pPr>
        <w:spacing w:line="500" w:lineRule="exact"/>
        <w:ind w:firstLine="480"/>
        <w:jc w:val="left"/>
        <w:rPr>
          <w:sz w:val="24"/>
          <w:szCs w:val="24"/>
        </w:rPr>
      </w:pPr>
      <w:r>
        <w:rPr>
          <w:rFonts w:hint="eastAsia"/>
          <w:sz w:val="24"/>
          <w:szCs w:val="24"/>
        </w:rPr>
        <w:t>（1）供应商的姓名或者名称、地址、邮编、联系人及联系电话；</w:t>
      </w:r>
    </w:p>
    <w:p w14:paraId="5731BFFE">
      <w:pPr>
        <w:spacing w:line="500" w:lineRule="exact"/>
        <w:ind w:firstLine="480"/>
        <w:jc w:val="left"/>
        <w:rPr>
          <w:sz w:val="24"/>
          <w:szCs w:val="24"/>
        </w:rPr>
      </w:pPr>
      <w:r>
        <w:rPr>
          <w:rFonts w:hint="eastAsia"/>
          <w:sz w:val="24"/>
          <w:szCs w:val="24"/>
        </w:rPr>
        <w:t>（2）质疑项目的名称、编号；</w:t>
      </w:r>
    </w:p>
    <w:p w14:paraId="43B080AC">
      <w:pPr>
        <w:spacing w:line="500" w:lineRule="exact"/>
        <w:ind w:firstLine="480"/>
        <w:jc w:val="left"/>
        <w:rPr>
          <w:sz w:val="24"/>
          <w:szCs w:val="24"/>
        </w:rPr>
      </w:pPr>
      <w:r>
        <w:rPr>
          <w:rFonts w:hint="eastAsia"/>
          <w:sz w:val="24"/>
          <w:szCs w:val="24"/>
        </w:rPr>
        <w:t>（3）具体、明确的质疑事项和与质疑事项相关的请求；</w:t>
      </w:r>
    </w:p>
    <w:p w14:paraId="373DFE85">
      <w:pPr>
        <w:spacing w:line="500" w:lineRule="exact"/>
        <w:ind w:firstLine="480"/>
        <w:jc w:val="left"/>
        <w:rPr>
          <w:sz w:val="24"/>
          <w:szCs w:val="24"/>
        </w:rPr>
      </w:pPr>
      <w:r>
        <w:rPr>
          <w:rFonts w:hint="eastAsia"/>
          <w:sz w:val="24"/>
          <w:szCs w:val="24"/>
        </w:rPr>
        <w:t>（4）事实依据；</w:t>
      </w:r>
    </w:p>
    <w:p w14:paraId="25B2E6A0">
      <w:pPr>
        <w:spacing w:line="500" w:lineRule="exact"/>
        <w:ind w:firstLine="480"/>
        <w:jc w:val="left"/>
        <w:rPr>
          <w:sz w:val="24"/>
          <w:szCs w:val="24"/>
        </w:rPr>
      </w:pPr>
      <w:r>
        <w:rPr>
          <w:rFonts w:hint="eastAsia"/>
          <w:sz w:val="24"/>
          <w:szCs w:val="24"/>
        </w:rPr>
        <w:t>（5）必要的法律依据；</w:t>
      </w:r>
    </w:p>
    <w:p w14:paraId="0C1760FD">
      <w:pPr>
        <w:spacing w:line="500" w:lineRule="exact"/>
        <w:ind w:firstLine="480"/>
        <w:jc w:val="left"/>
        <w:rPr>
          <w:sz w:val="24"/>
          <w:szCs w:val="24"/>
        </w:rPr>
      </w:pPr>
      <w:r>
        <w:rPr>
          <w:rFonts w:hint="eastAsia"/>
          <w:sz w:val="24"/>
          <w:szCs w:val="24"/>
        </w:rPr>
        <w:t>（6）提出质疑的日期；</w:t>
      </w:r>
    </w:p>
    <w:p w14:paraId="3A598DA4">
      <w:pPr>
        <w:spacing w:line="500" w:lineRule="exact"/>
        <w:ind w:firstLine="480"/>
        <w:jc w:val="left"/>
        <w:rPr>
          <w:sz w:val="24"/>
          <w:szCs w:val="24"/>
        </w:rPr>
      </w:pPr>
      <w:r>
        <w:rPr>
          <w:rFonts w:hint="eastAsia"/>
          <w:sz w:val="24"/>
          <w:szCs w:val="24"/>
        </w:rPr>
        <w:t>（7）必要的证明材料；</w:t>
      </w:r>
    </w:p>
    <w:p w14:paraId="122314B5">
      <w:pPr>
        <w:spacing w:line="500" w:lineRule="exact"/>
        <w:ind w:firstLine="480"/>
        <w:jc w:val="left"/>
        <w:rPr>
          <w:sz w:val="24"/>
          <w:szCs w:val="24"/>
        </w:rPr>
      </w:pPr>
      <w:r>
        <w:rPr>
          <w:rFonts w:hint="eastAsia"/>
          <w:sz w:val="24"/>
          <w:szCs w:val="24"/>
        </w:rPr>
        <w:t>（8）营业执照复印件及授权委托书原件、法定代表人（单位负责人）身份证复印件、委托代理人身份证复印件。</w:t>
      </w:r>
    </w:p>
    <w:p w14:paraId="10902B29">
      <w:pPr>
        <w:spacing w:line="500" w:lineRule="exact"/>
        <w:ind w:firstLine="480"/>
        <w:jc w:val="left"/>
        <w:rPr>
          <w:sz w:val="24"/>
          <w:szCs w:val="24"/>
        </w:rPr>
      </w:pPr>
      <w:r>
        <w:rPr>
          <w:rFonts w:hint="eastAsia"/>
          <w:sz w:val="24"/>
          <w:szCs w:val="24"/>
        </w:rPr>
        <w:t>供应商为自然人的，应当由本人签字；供应商为法人或者其他组织的，应当由法定代表人、主要负责人，或者其委托代理人签字或者盖章，并加盖单位公章。</w:t>
      </w:r>
    </w:p>
    <w:p w14:paraId="54C610A8">
      <w:pPr>
        <w:pStyle w:val="4"/>
        <w:spacing w:before="0" w:after="0" w:line="360" w:lineRule="auto"/>
        <w:ind w:firstLine="562"/>
        <w:jc w:val="left"/>
        <w:rPr>
          <w:sz w:val="24"/>
          <w:szCs w:val="24"/>
        </w:rPr>
      </w:pPr>
      <w:r>
        <w:rPr>
          <w:rFonts w:hint="eastAsia"/>
          <w:sz w:val="28"/>
          <w:szCs w:val="28"/>
        </w:rPr>
        <w:t>37、质疑函的受理和答复</w:t>
      </w:r>
    </w:p>
    <w:p w14:paraId="3542816F">
      <w:pPr>
        <w:spacing w:line="500" w:lineRule="exact"/>
        <w:ind w:firstLine="480" w:firstLineChars="200"/>
        <w:jc w:val="left"/>
        <w:rPr>
          <w:sz w:val="24"/>
          <w:szCs w:val="24"/>
        </w:rPr>
      </w:pPr>
      <w:r>
        <w:rPr>
          <w:rFonts w:hint="eastAsia"/>
          <w:sz w:val="24"/>
          <w:szCs w:val="24"/>
        </w:rPr>
        <w:t>37.1 质疑供应商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代理机构不负责搜集必要的证明材料等工作。</w:t>
      </w:r>
    </w:p>
    <w:p w14:paraId="21EFC806">
      <w:pPr>
        <w:spacing w:line="500" w:lineRule="exact"/>
        <w:ind w:firstLine="480" w:firstLineChars="200"/>
        <w:jc w:val="left"/>
        <w:rPr>
          <w:sz w:val="24"/>
          <w:szCs w:val="24"/>
        </w:rPr>
      </w:pPr>
      <w:r>
        <w:rPr>
          <w:rFonts w:hint="eastAsia"/>
          <w:sz w:val="24"/>
          <w:szCs w:val="24"/>
        </w:rPr>
        <w:t>37.2 对符合法定要求的质疑，采购人、代理机构接收并登记《质疑函登记表》。在处理过程中，发现需要质疑供应商进一步补充必要的证明材料的，质疑供应商应在法定的时间内提供，质疑答复时间相应顺延。质疑供应商不能按时提供必要的证明材料的，视同放弃质疑。</w:t>
      </w:r>
    </w:p>
    <w:p w14:paraId="5F3DEAE7">
      <w:pPr>
        <w:spacing w:line="500" w:lineRule="exact"/>
        <w:ind w:firstLine="480" w:firstLineChars="200"/>
        <w:jc w:val="left"/>
        <w:rPr>
          <w:sz w:val="24"/>
          <w:szCs w:val="24"/>
        </w:rPr>
      </w:pPr>
      <w:r>
        <w:rPr>
          <w:rFonts w:hint="eastAsia"/>
          <w:sz w:val="24"/>
          <w:szCs w:val="24"/>
        </w:rPr>
        <w:t>37.3 对不符合质疑要求的，采购人、代理机构有权要求其补充必要的证明材料，质疑供应商未在法定时间内补充必要的证明材料的，视同放弃质疑。</w:t>
      </w:r>
    </w:p>
    <w:p w14:paraId="20BA8CBB">
      <w:pPr>
        <w:spacing w:line="500" w:lineRule="exact"/>
        <w:ind w:firstLine="480" w:firstLineChars="200"/>
        <w:jc w:val="left"/>
        <w:rPr>
          <w:sz w:val="24"/>
          <w:szCs w:val="24"/>
        </w:rPr>
      </w:pPr>
      <w:r>
        <w:rPr>
          <w:rFonts w:hint="eastAsia"/>
          <w:sz w:val="24"/>
          <w:szCs w:val="24"/>
        </w:rPr>
        <w:t>37.4 以下情形的质疑依法不予受理：</w:t>
      </w:r>
    </w:p>
    <w:p w14:paraId="20EA0854">
      <w:pPr>
        <w:spacing w:line="500" w:lineRule="exact"/>
        <w:ind w:firstLine="480" w:firstLineChars="200"/>
        <w:jc w:val="left"/>
        <w:rPr>
          <w:sz w:val="24"/>
          <w:szCs w:val="24"/>
        </w:rPr>
      </w:pPr>
      <w:r>
        <w:rPr>
          <w:rFonts w:hint="eastAsia"/>
          <w:sz w:val="24"/>
          <w:szCs w:val="24"/>
        </w:rPr>
        <w:t>（1）内容不符合《政府采购质疑和投诉办法》第十二条规定的质疑。</w:t>
      </w:r>
    </w:p>
    <w:p w14:paraId="25D0CC87">
      <w:pPr>
        <w:spacing w:line="500" w:lineRule="exact"/>
        <w:ind w:firstLine="480" w:firstLineChars="200"/>
        <w:jc w:val="left"/>
        <w:rPr>
          <w:sz w:val="24"/>
          <w:szCs w:val="24"/>
        </w:rPr>
      </w:pPr>
      <w:r>
        <w:rPr>
          <w:rFonts w:hint="eastAsia"/>
          <w:sz w:val="24"/>
          <w:szCs w:val="24"/>
        </w:rPr>
        <w:t>（2）超出政府采购法定期限的质疑。</w:t>
      </w:r>
    </w:p>
    <w:p w14:paraId="0437292C">
      <w:pPr>
        <w:spacing w:line="500" w:lineRule="exact"/>
        <w:ind w:firstLine="480" w:firstLineChars="200"/>
        <w:jc w:val="left"/>
        <w:rPr>
          <w:sz w:val="24"/>
          <w:szCs w:val="24"/>
        </w:rPr>
      </w:pPr>
      <w:r>
        <w:rPr>
          <w:rFonts w:hint="eastAsia"/>
          <w:sz w:val="24"/>
          <w:szCs w:val="24"/>
        </w:rPr>
        <w:t>（3）以传真、电子邮件等方式提交的非原件形式的质疑。</w:t>
      </w:r>
    </w:p>
    <w:p w14:paraId="49E01427">
      <w:pPr>
        <w:spacing w:line="500" w:lineRule="exact"/>
        <w:ind w:firstLine="480" w:firstLineChars="200"/>
        <w:jc w:val="left"/>
        <w:rPr>
          <w:sz w:val="24"/>
          <w:szCs w:val="24"/>
        </w:rPr>
      </w:pPr>
      <w:r>
        <w:rPr>
          <w:rFonts w:hint="eastAsia"/>
          <w:sz w:val="24"/>
          <w:szCs w:val="24"/>
        </w:rPr>
        <w:t>（4）未参与采购活动或在采购活动中自身权益未受到损害的供应商提出的质疑。</w:t>
      </w:r>
    </w:p>
    <w:p w14:paraId="64783E4C">
      <w:pPr>
        <w:spacing w:line="500" w:lineRule="exact"/>
        <w:ind w:firstLine="480" w:firstLineChars="200"/>
        <w:jc w:val="left"/>
        <w:rPr>
          <w:sz w:val="24"/>
          <w:szCs w:val="24"/>
        </w:rPr>
      </w:pPr>
      <w:r>
        <w:rPr>
          <w:rFonts w:hint="eastAsia"/>
          <w:sz w:val="24"/>
          <w:szCs w:val="24"/>
        </w:rPr>
        <w:t>（5）供应商组成联合体，联合体中任何一方或多方未按要求签字（盖章）、加盖公章的质疑。</w:t>
      </w:r>
    </w:p>
    <w:p w14:paraId="32D55777">
      <w:pPr>
        <w:spacing w:line="500" w:lineRule="exact"/>
        <w:ind w:firstLine="480" w:firstLineChars="200"/>
        <w:jc w:val="left"/>
        <w:rPr>
          <w:sz w:val="24"/>
          <w:szCs w:val="24"/>
        </w:rPr>
      </w:pPr>
      <w:r>
        <w:rPr>
          <w:rFonts w:hint="eastAsia"/>
          <w:sz w:val="24"/>
          <w:szCs w:val="24"/>
        </w:rPr>
        <w:t>37.5 采购人、代理机构依法受理的质疑，将按照政府采购有关规定，在法定期限内作出答复。</w:t>
      </w:r>
    </w:p>
    <w:p w14:paraId="14FD53CB">
      <w:pPr>
        <w:pStyle w:val="4"/>
        <w:spacing w:before="0" w:after="0" w:line="360" w:lineRule="auto"/>
        <w:ind w:firstLine="562"/>
        <w:jc w:val="left"/>
        <w:rPr>
          <w:sz w:val="28"/>
          <w:szCs w:val="28"/>
        </w:rPr>
      </w:pPr>
      <w:r>
        <w:rPr>
          <w:rFonts w:hint="eastAsia"/>
          <w:sz w:val="28"/>
          <w:szCs w:val="28"/>
        </w:rPr>
        <w:t>38、质疑处理</w:t>
      </w:r>
    </w:p>
    <w:p w14:paraId="6EAAD46B">
      <w:pPr>
        <w:spacing w:line="500" w:lineRule="exact"/>
        <w:ind w:firstLine="480" w:firstLineChars="200"/>
        <w:jc w:val="left"/>
        <w:rPr>
          <w:sz w:val="24"/>
          <w:szCs w:val="24"/>
        </w:rPr>
      </w:pPr>
      <w:r>
        <w:rPr>
          <w:rFonts w:hint="eastAsia"/>
          <w:sz w:val="24"/>
          <w:szCs w:val="24"/>
        </w:rPr>
        <w:t>38.1 质疑供应商未按照法定程序进行质疑投诉的，视为一般失信行为。</w:t>
      </w:r>
    </w:p>
    <w:p w14:paraId="0DBF257F">
      <w:pPr>
        <w:spacing w:line="500" w:lineRule="exact"/>
        <w:ind w:firstLine="480" w:firstLineChars="200"/>
        <w:jc w:val="left"/>
        <w:rPr>
          <w:sz w:val="24"/>
          <w:szCs w:val="24"/>
        </w:rPr>
      </w:pPr>
      <w:r>
        <w:rPr>
          <w:rFonts w:hint="eastAsia"/>
          <w:sz w:val="24"/>
          <w:szCs w:val="24"/>
        </w:rPr>
        <w:t>38.2 质疑供应商不配合或者采取不正当手段干扰政府采购质疑、投诉处理工作的，视为一般失信行为。</w:t>
      </w:r>
    </w:p>
    <w:p w14:paraId="7E48BC5B">
      <w:pPr>
        <w:spacing w:line="500" w:lineRule="exact"/>
        <w:ind w:firstLine="480" w:firstLineChars="200"/>
        <w:jc w:val="left"/>
        <w:rPr>
          <w:sz w:val="24"/>
          <w:szCs w:val="24"/>
        </w:rPr>
      </w:pPr>
      <w:r>
        <w:rPr>
          <w:rFonts w:hint="eastAsia"/>
          <w:sz w:val="24"/>
          <w:szCs w:val="24"/>
        </w:rPr>
        <w:t>38.3 质疑供应商投诉受理期间，就同一事项多头举报，干扰财政部门投诉处理的，视为一般失信行为。</w:t>
      </w:r>
    </w:p>
    <w:p w14:paraId="52B827F3">
      <w:pPr>
        <w:spacing w:line="500" w:lineRule="exact"/>
        <w:ind w:firstLine="480" w:firstLineChars="200"/>
        <w:jc w:val="left"/>
        <w:rPr>
          <w:sz w:val="24"/>
          <w:szCs w:val="24"/>
        </w:rPr>
      </w:pPr>
      <w:r>
        <w:rPr>
          <w:rFonts w:hint="eastAsia"/>
          <w:sz w:val="24"/>
          <w:szCs w:val="24"/>
        </w:rPr>
        <w:t>38.4 质疑供应商在全国范围12个月内三次以上质疑查无实据的，视为一般失信行为。</w:t>
      </w:r>
    </w:p>
    <w:p w14:paraId="59A8A314">
      <w:pPr>
        <w:spacing w:line="500" w:lineRule="exact"/>
        <w:ind w:firstLine="480" w:firstLineChars="200"/>
        <w:jc w:val="left"/>
        <w:rPr>
          <w:sz w:val="24"/>
          <w:szCs w:val="24"/>
        </w:rPr>
      </w:pPr>
      <w:r>
        <w:rPr>
          <w:rFonts w:hint="eastAsia"/>
          <w:sz w:val="24"/>
          <w:szCs w:val="24"/>
        </w:rPr>
        <w:t>38.5 质疑供应商采用捏造事实、提供虚假材料或者以非法手段取得证明材料等方式进行虚假、恶意投诉的，视为严重失信行为。（证据来源的合法性存在明显疑问，投诉人无法证明其取得方式合法的，视为以非法手段取得证明材料）</w:t>
      </w:r>
    </w:p>
    <w:p w14:paraId="5B770C24">
      <w:pPr>
        <w:spacing w:line="500" w:lineRule="exact"/>
        <w:ind w:firstLine="480" w:firstLineChars="200"/>
        <w:jc w:val="left"/>
        <w:rPr>
          <w:sz w:val="24"/>
          <w:szCs w:val="24"/>
        </w:rPr>
      </w:pPr>
      <w:r>
        <w:rPr>
          <w:rFonts w:hint="eastAsia"/>
          <w:sz w:val="24"/>
          <w:szCs w:val="24"/>
        </w:rPr>
        <w:t>38.6 质疑供应商在全国范围12个月内三次以上投诉查无实据的，视为严重失信行为。</w:t>
      </w:r>
    </w:p>
    <w:p w14:paraId="05B263B1">
      <w:pPr>
        <w:spacing w:line="500" w:lineRule="exact"/>
        <w:ind w:firstLine="480"/>
        <w:jc w:val="left"/>
        <w:rPr>
          <w:rFonts w:hint="eastAsia" w:eastAsiaTheme="minorEastAsia"/>
          <w:sz w:val="24"/>
          <w:szCs w:val="24"/>
          <w:lang w:eastAsia="zh-CN"/>
        </w:rPr>
      </w:pPr>
      <w:r>
        <w:rPr>
          <w:rFonts w:hint="eastAsia"/>
          <w:sz w:val="24"/>
          <w:szCs w:val="24"/>
        </w:rPr>
        <w:t>38.7 未尽事宜，依照有关法律、法规执行</w:t>
      </w:r>
      <w:r>
        <w:rPr>
          <w:rFonts w:hint="eastAsia"/>
          <w:sz w:val="24"/>
          <w:szCs w:val="24"/>
          <w:lang w:eastAsia="zh-CN"/>
        </w:rPr>
        <w:t>。</w:t>
      </w:r>
    </w:p>
    <w:p w14:paraId="31D06355">
      <w:pPr>
        <w:pStyle w:val="3"/>
        <w:spacing w:before="0" w:after="0" w:line="360" w:lineRule="auto"/>
        <w:rPr>
          <w:rFonts w:ascii="黑体" w:hAnsi="黑体" w:eastAsia="黑体"/>
          <w:b w:val="0"/>
        </w:rPr>
      </w:pPr>
      <w:r>
        <w:rPr>
          <w:rFonts w:hint="eastAsia" w:ascii="黑体" w:hAnsi="黑体" w:eastAsia="黑体"/>
          <w:b w:val="0"/>
        </w:rPr>
        <w:t>九、政府采购政策功能</w:t>
      </w:r>
    </w:p>
    <w:p w14:paraId="1550776E">
      <w:pPr>
        <w:pStyle w:val="4"/>
        <w:spacing w:before="0" w:after="0" w:line="360" w:lineRule="auto"/>
        <w:ind w:firstLine="562"/>
        <w:jc w:val="left"/>
        <w:rPr>
          <w:sz w:val="28"/>
          <w:szCs w:val="28"/>
        </w:rPr>
      </w:pPr>
      <w:r>
        <w:rPr>
          <w:rFonts w:hint="eastAsia"/>
          <w:sz w:val="28"/>
          <w:szCs w:val="28"/>
        </w:rPr>
        <w:t>39、促进中小企业发展</w:t>
      </w:r>
    </w:p>
    <w:p w14:paraId="579732BF">
      <w:pPr>
        <w:spacing w:line="500" w:lineRule="exact"/>
        <w:ind w:firstLine="480"/>
        <w:jc w:val="left"/>
        <w:rPr>
          <w:sz w:val="24"/>
          <w:szCs w:val="24"/>
        </w:rPr>
      </w:pPr>
      <w:r>
        <w:rPr>
          <w:rFonts w:hint="eastAsia"/>
          <w:sz w:val="24"/>
          <w:szCs w:val="24"/>
        </w:rPr>
        <w:t>39.1 本项目执行《关于印发&lt;政府采购促进中小企业发展管理办法&gt;的通知》（财库〔2020〕46号）、《关于印发中小企业划型标准规定的通知》（工信部联企业〔2011〕300号）、《关于政府采购支持监狱企业发展有关问题的通知》（财库〔2014〕68号）、《关于促进残疾人就业政府采购政策的通知》（财库〔2017〕141号）、《关于进一步加大政府采购支持中小企业力度的通知》（财库〔2022〕19号）的规定，专门面向中型企业、小型企业、微型企业、残疾人福利性单位、监狱企业采购。</w:t>
      </w:r>
    </w:p>
    <w:p w14:paraId="10565B34">
      <w:pPr>
        <w:spacing w:line="500" w:lineRule="exact"/>
        <w:ind w:firstLine="480"/>
        <w:jc w:val="left"/>
        <w:rPr>
          <w:sz w:val="24"/>
          <w:szCs w:val="24"/>
        </w:rPr>
      </w:pPr>
      <w:r>
        <w:rPr>
          <w:rFonts w:hint="eastAsia"/>
          <w:sz w:val="24"/>
          <w:szCs w:val="24"/>
        </w:rPr>
        <w:t xml:space="preserve">39.2 参加本项目政府采购活动的供应商应当提供的材料： </w:t>
      </w:r>
    </w:p>
    <w:p w14:paraId="1B7D829F">
      <w:pPr>
        <w:spacing w:line="500" w:lineRule="exact"/>
        <w:ind w:firstLine="480"/>
        <w:jc w:val="left"/>
        <w:rPr>
          <w:sz w:val="24"/>
          <w:szCs w:val="24"/>
        </w:rPr>
      </w:pPr>
      <w:r>
        <w:rPr>
          <w:rFonts w:hint="eastAsia"/>
          <w:sz w:val="24"/>
          <w:szCs w:val="24"/>
        </w:rPr>
        <w:t>（1）供应商提供的服务全部由小型企业、微型企业</w:t>
      </w:r>
      <w:r>
        <w:rPr>
          <w:rFonts w:hint="eastAsia" w:eastAsia="宋体"/>
          <w:sz w:val="24"/>
          <w:szCs w:val="24"/>
        </w:rPr>
        <w:t>承接的</w:t>
      </w:r>
      <w:r>
        <w:rPr>
          <w:rFonts w:hint="eastAsia"/>
          <w:sz w:val="24"/>
          <w:szCs w:val="24"/>
        </w:rPr>
        <w:t>，提供《中小企业声明函》（第六章 响应件格式）。</w:t>
      </w:r>
    </w:p>
    <w:p w14:paraId="43BC9319">
      <w:pPr>
        <w:spacing w:line="500" w:lineRule="exact"/>
        <w:ind w:firstLine="480"/>
        <w:jc w:val="left"/>
        <w:rPr>
          <w:sz w:val="24"/>
          <w:szCs w:val="24"/>
        </w:rPr>
      </w:pPr>
      <w:r>
        <w:rPr>
          <w:rFonts w:hint="eastAsia"/>
          <w:sz w:val="24"/>
          <w:szCs w:val="24"/>
        </w:rPr>
        <w:t>（2）符合《关于促进残疾人就业政府采购政策的通知》（财库〔2017〕141号）规定的条件并提供《残疾人福利性单位声明函》（第六章 响应文件格式）的残疾人福利性单位视同小型、微型企业。</w:t>
      </w:r>
    </w:p>
    <w:p w14:paraId="015151C9">
      <w:pPr>
        <w:spacing w:line="500" w:lineRule="exact"/>
        <w:ind w:firstLine="480"/>
        <w:jc w:val="left"/>
        <w:rPr>
          <w:sz w:val="24"/>
          <w:szCs w:val="24"/>
        </w:rPr>
      </w:pPr>
      <w:r>
        <w:rPr>
          <w:rFonts w:hint="eastAsia"/>
          <w:sz w:val="24"/>
          <w:szCs w:val="24"/>
        </w:rPr>
        <w:t>（3）符合《关于政府采购支持监狱企业发展有关问题的通知》（财库〔2014〕68号）规定的监狱企业并提供省级以上监狱管理局、戒毒管理局（含新疆生产建设兵团）出具的属于监狱企业证明文件的，视同小型、微型企业。</w:t>
      </w:r>
    </w:p>
    <w:p w14:paraId="67F299D5">
      <w:pPr>
        <w:spacing w:line="500" w:lineRule="exact"/>
        <w:ind w:firstLine="480"/>
        <w:jc w:val="left"/>
        <w:rPr>
          <w:sz w:val="24"/>
          <w:szCs w:val="24"/>
        </w:rPr>
      </w:pPr>
      <w:r>
        <w:rPr>
          <w:rFonts w:hint="eastAsia"/>
          <w:sz w:val="24"/>
          <w:szCs w:val="24"/>
        </w:rPr>
        <w:t>3</w:t>
      </w:r>
      <w:r>
        <w:rPr>
          <w:rFonts w:hint="eastAsia"/>
          <w:sz w:val="24"/>
          <w:szCs w:val="24"/>
          <w:lang w:val="en-US" w:eastAsia="zh-CN"/>
        </w:rPr>
        <w:t>9</w:t>
      </w:r>
      <w:r>
        <w:rPr>
          <w:rFonts w:hint="eastAsia"/>
          <w:sz w:val="24"/>
          <w:szCs w:val="24"/>
        </w:rPr>
        <w:t>.3 残疾人福利单位、监狱企业属于小型、微型企业的，不重复享受政策。</w:t>
      </w:r>
    </w:p>
    <w:p w14:paraId="0233F144">
      <w:pPr>
        <w:spacing w:line="500" w:lineRule="exact"/>
        <w:ind w:firstLine="480"/>
        <w:jc w:val="left"/>
        <w:rPr>
          <w:sz w:val="24"/>
          <w:szCs w:val="24"/>
        </w:rPr>
      </w:pPr>
      <w:r>
        <w:rPr>
          <w:rFonts w:hint="eastAsia"/>
          <w:sz w:val="24"/>
          <w:szCs w:val="24"/>
        </w:rPr>
        <w:t>3</w:t>
      </w:r>
      <w:r>
        <w:rPr>
          <w:rFonts w:hint="eastAsia"/>
          <w:sz w:val="24"/>
          <w:szCs w:val="24"/>
          <w:lang w:val="en-US" w:eastAsia="zh-CN"/>
        </w:rPr>
        <w:t>9</w:t>
      </w:r>
      <w:r>
        <w:rPr>
          <w:rFonts w:hint="eastAsia"/>
          <w:sz w:val="24"/>
          <w:szCs w:val="24"/>
        </w:rPr>
        <w:t>.4 享受扶持政策获得政府采购合同的，小微型企业不得将合同分包给大中型企业，中型企业不得将合同分包给大型企业。</w:t>
      </w:r>
    </w:p>
    <w:p w14:paraId="6D312479">
      <w:pPr>
        <w:spacing w:line="500" w:lineRule="exact"/>
        <w:ind w:firstLine="480"/>
        <w:jc w:val="left"/>
        <w:rPr>
          <w:sz w:val="24"/>
          <w:szCs w:val="24"/>
        </w:rPr>
      </w:pPr>
      <w:r>
        <w:rPr>
          <w:rFonts w:hint="eastAsia"/>
          <w:sz w:val="24"/>
          <w:szCs w:val="24"/>
        </w:rPr>
        <w:t>37.5</w:t>
      </w: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1F3ACB59">
      <w:pPr>
        <w:pStyle w:val="4"/>
        <w:spacing w:before="0" w:after="0" w:line="360" w:lineRule="auto"/>
        <w:ind w:firstLine="562"/>
        <w:jc w:val="left"/>
        <w:rPr>
          <w:sz w:val="28"/>
          <w:szCs w:val="28"/>
        </w:rPr>
      </w:pPr>
      <w:r>
        <w:rPr>
          <w:rFonts w:hint="eastAsia"/>
          <w:sz w:val="28"/>
          <w:szCs w:val="28"/>
        </w:rPr>
        <w:t>40、支持绿色发展</w:t>
      </w:r>
    </w:p>
    <w:p w14:paraId="232F421D">
      <w:pPr>
        <w:spacing w:line="500" w:lineRule="exact"/>
        <w:ind w:firstLine="480"/>
        <w:jc w:val="left"/>
        <w:rPr>
          <w:sz w:val="24"/>
          <w:szCs w:val="24"/>
        </w:rPr>
      </w:pPr>
      <w:r>
        <w:rPr>
          <w:rFonts w:hint="eastAsia"/>
          <w:sz w:val="24"/>
          <w:szCs w:val="24"/>
        </w:rPr>
        <w:t>40.1 本项目执行《关于印发环境标志产品政府采购品目清单的通知》（财库〔2019〕18号）、《关于印发节能产品政府采购品目清单的通知》（财库〔2019〕19号）等有关规定，采购产品属于品目清单范围的，采购人及其委托的采购代理机构将依据国家确定的认证机构出具的、处于有效期之内的节能产品、环境标志产品认证证书，对获得证书的产品实施政府优先采购或者强制采购。供应商须按磋商文件要求提供相关产品认证证书。</w:t>
      </w:r>
    </w:p>
    <w:p w14:paraId="7349F46F">
      <w:pPr>
        <w:spacing w:line="500" w:lineRule="exact"/>
        <w:ind w:firstLine="480"/>
        <w:jc w:val="left"/>
        <w:rPr>
          <w:sz w:val="24"/>
          <w:szCs w:val="24"/>
        </w:rPr>
      </w:pPr>
      <w:r>
        <w:rPr>
          <w:rFonts w:hint="eastAsia"/>
          <w:sz w:val="24"/>
          <w:szCs w:val="24"/>
        </w:rPr>
        <w:t>40.2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00E7B86B">
      <w:pPr>
        <w:pStyle w:val="4"/>
        <w:spacing w:before="0" w:after="0" w:line="360" w:lineRule="auto"/>
        <w:ind w:firstLine="562"/>
        <w:jc w:val="left"/>
        <w:rPr>
          <w:b w:val="0"/>
          <w:bCs w:val="0"/>
          <w:sz w:val="28"/>
          <w:szCs w:val="28"/>
        </w:rPr>
      </w:pPr>
      <w:r>
        <w:rPr>
          <w:rFonts w:hint="eastAsia"/>
          <w:b w:val="0"/>
          <w:bCs w:val="0"/>
          <w:sz w:val="28"/>
          <w:szCs w:val="28"/>
        </w:rPr>
        <w:t>41、政府采购需求标准</w:t>
      </w:r>
    </w:p>
    <w:p w14:paraId="20FD3F52">
      <w:pPr>
        <w:spacing w:line="500" w:lineRule="exact"/>
        <w:ind w:firstLine="480"/>
        <w:jc w:val="left"/>
        <w:rPr>
          <w:sz w:val="24"/>
          <w:szCs w:val="24"/>
        </w:rPr>
      </w:pPr>
      <w:r>
        <w:rPr>
          <w:rFonts w:hint="eastAsia"/>
          <w:b w:val="0"/>
          <w:bCs w:val="0"/>
          <w:sz w:val="24"/>
          <w:szCs w:val="24"/>
        </w:rPr>
        <w:t>41.1 本项目执行《绿色数据中心政府采购需求标准（试行）》、《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等政府采购需求标准。采购标的如涉及数据中心相关设备及运维服务、台式计算机、便携式计算机、一体式计算机、工作站、通用服务器、操作系统、数据库的，执行相关政府采购需求标准。</w:t>
      </w:r>
      <w:r>
        <w:rPr>
          <w:sz w:val="24"/>
          <w:szCs w:val="24"/>
        </w:rPr>
        <w:br w:type="page" w:clear="all"/>
      </w:r>
    </w:p>
    <w:p w14:paraId="03FC18B3">
      <w:pPr>
        <w:pStyle w:val="2"/>
        <w:spacing w:before="156" w:after="156" w:line="360" w:lineRule="auto"/>
        <w:jc w:val="center"/>
        <w:rPr>
          <w:rFonts w:ascii="黑体" w:hAnsi="黑体" w:eastAsia="黑体"/>
          <w:b w:val="0"/>
        </w:rPr>
      </w:pPr>
      <w:bookmarkStart w:id="4" w:name="_Toc25859"/>
      <w:bookmarkStart w:id="5" w:name="_Toc20393"/>
      <w:bookmarkStart w:id="6" w:name="_Toc22236"/>
      <w:r>
        <w:rPr>
          <w:rFonts w:hint="eastAsia" w:ascii="黑体" w:hAnsi="黑体" w:eastAsia="黑体"/>
          <w:b w:val="0"/>
        </w:rPr>
        <w:t>第三章  合同文本</w:t>
      </w:r>
      <w:bookmarkEnd w:id="4"/>
      <w:bookmarkEnd w:id="5"/>
      <w:bookmarkEnd w:id="6"/>
    </w:p>
    <w:p w14:paraId="178738E7">
      <w:pPr>
        <w:spacing w:line="500" w:lineRule="exact"/>
        <w:ind w:firstLine="480"/>
        <w:jc w:val="left"/>
        <w:rPr>
          <w:sz w:val="24"/>
          <w:szCs w:val="24"/>
        </w:rPr>
      </w:pPr>
      <w:r>
        <w:rPr>
          <w:rFonts w:hint="eastAsia"/>
          <w:sz w:val="24"/>
          <w:szCs w:val="24"/>
        </w:rPr>
        <w:t>（备注：以下为中标后签订本项目合同的通用条款，中标人不得提出实质性的修改，签订合同时请删除本条备注。）</w:t>
      </w:r>
    </w:p>
    <w:p w14:paraId="48E45204">
      <w:pPr>
        <w:spacing w:line="500" w:lineRule="exact"/>
        <w:jc w:val="left"/>
        <w:rPr>
          <w:sz w:val="24"/>
          <w:szCs w:val="24"/>
        </w:rPr>
      </w:pPr>
    </w:p>
    <w:p w14:paraId="68477E16">
      <w:pPr>
        <w:widowControl w:val="0"/>
        <w:spacing w:line="360" w:lineRule="auto"/>
        <w:jc w:val="both"/>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项目名称：</w:t>
      </w:r>
    </w:p>
    <w:p w14:paraId="74381B2C">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项目编号：</w:t>
      </w:r>
    </w:p>
    <w:p w14:paraId="33F8F4A9">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（采购人）</w:t>
      </w:r>
    </w:p>
    <w:p w14:paraId="2DC20A4E">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（成交供应商） </w:t>
      </w:r>
    </w:p>
    <w:p w14:paraId="60D10E0E">
      <w:pPr>
        <w:widowControl w:val="0"/>
        <w:spacing w:line="360" w:lineRule="auto"/>
        <w:ind w:left="239" w:leftChars="114"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根据《中华人民共和国民法典》《中华人民共和国政府采购法》等法律规定，甲、乙双方根据</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日采购项目的竞争性磋商结果，甲方接收乙方为本项目</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成交供应商，乙方必须完全按成交通知书中的项目履行义务。甲乙双方同意签署本合同（以下简称合同）。</w:t>
      </w:r>
    </w:p>
    <w:p w14:paraId="537EBEF9">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Cs/>
          <w:color w:val="auto"/>
          <w:kern w:val="2"/>
          <w:sz w:val="24"/>
          <w:szCs w:val="24"/>
          <w:highlight w:val="none"/>
        </w:rPr>
        <w:t xml:space="preserve"> </w:t>
      </w:r>
      <w:r>
        <w:rPr>
          <w:rFonts w:hint="eastAsia" w:ascii="宋体" w:hAnsi="宋体" w:eastAsia="宋体" w:cs="宋体"/>
          <w:b/>
          <w:bCs/>
          <w:color w:val="auto"/>
          <w:kern w:val="2"/>
          <w:sz w:val="24"/>
          <w:szCs w:val="24"/>
          <w:highlight w:val="none"/>
        </w:rPr>
        <w:t>一、合同内容</w:t>
      </w:r>
    </w:p>
    <w:p w14:paraId="488C4FF7">
      <w:pPr>
        <w:spacing w:line="360" w:lineRule="auto"/>
        <w:ind w:firstLine="480" w:firstLineChars="200"/>
        <w:rPr>
          <w:rFonts w:hint="eastAsia" w:ascii="宋体" w:hAnsi="宋体" w:eastAsia="宋体" w:cs="Times New Roman"/>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eastAsia="zh-CN"/>
        </w:rPr>
        <w:t>包括连云港市发改委油气管道保护智能化系统的日常运维以及90路高清视频监控（其中高塔挂载视频20路）的接电、电费、光纤传输费用、高塔挂载服务费用、维修维护服务等。</w:t>
      </w:r>
    </w:p>
    <w:p w14:paraId="23F903B4">
      <w:pPr>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rPr>
        <w:t>、服务期限：</w:t>
      </w:r>
      <w:r>
        <w:rPr>
          <w:rFonts w:hint="eastAsia" w:ascii="宋体" w:hAnsi="宋体" w:eastAsia="宋体" w:cs="宋体"/>
          <w:bCs/>
          <w:color w:val="auto"/>
          <w:spacing w:val="-6"/>
          <w:kern w:val="2"/>
          <w:sz w:val="24"/>
          <w:szCs w:val="24"/>
          <w:highlight w:val="none"/>
          <w:u w:val="single"/>
        </w:rPr>
        <w:t xml:space="preserve">           </w:t>
      </w:r>
      <w:r>
        <w:rPr>
          <w:rFonts w:hint="eastAsia" w:ascii="宋体" w:hAnsi="宋体" w:eastAsia="宋体" w:cs="宋体"/>
          <w:bCs/>
          <w:color w:val="auto"/>
          <w:spacing w:val="-6"/>
          <w:kern w:val="2"/>
          <w:sz w:val="24"/>
          <w:szCs w:val="24"/>
          <w:highlight w:val="none"/>
        </w:rPr>
        <w:t>。</w:t>
      </w:r>
    </w:p>
    <w:p w14:paraId="759EA51C">
      <w:pPr>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 xml:space="preserve">、乙方为本项目安排的项目负责人为： </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（身份证号码：</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w:t>
      </w:r>
      <w:r>
        <w:rPr>
          <w:rFonts w:hint="eastAsia" w:ascii="宋体" w:hAnsi="宋体" w:eastAsia="宋体" w:cs="宋体"/>
          <w:color w:val="auto"/>
          <w:kern w:val="2"/>
          <w:sz w:val="24"/>
          <w:szCs w:val="24"/>
          <w:highlight w:val="none"/>
        </w:rPr>
        <w:t>签订合同后，甲方将对乙方项目负责人进行全程监管，乙方不得随意更换</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否则甲方有权解除本合同</w:t>
      </w:r>
      <w:r>
        <w:rPr>
          <w:rFonts w:hint="eastAsia" w:ascii="宋体" w:hAnsi="宋体" w:eastAsia="宋体" w:cs="宋体"/>
          <w:color w:val="auto"/>
          <w:kern w:val="2"/>
          <w:sz w:val="24"/>
          <w:szCs w:val="24"/>
          <w:highlight w:val="none"/>
        </w:rPr>
        <w:t>。</w:t>
      </w:r>
    </w:p>
    <w:p w14:paraId="08595F30">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二、下列文件为本合同不可分割部分</w:t>
      </w:r>
    </w:p>
    <w:p w14:paraId="327804D7">
      <w:pPr>
        <w:spacing w:line="360" w:lineRule="auto"/>
        <w:ind w:firstLine="480" w:firstLineChars="20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1、成交通知书；</w:t>
      </w:r>
    </w:p>
    <w:p w14:paraId="70C08560">
      <w:pPr>
        <w:spacing w:line="360" w:lineRule="auto"/>
        <w:ind w:firstLine="480" w:firstLineChars="20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2、乙方成交的响应文件；</w:t>
      </w:r>
    </w:p>
    <w:p w14:paraId="0495CCD7">
      <w:pPr>
        <w:spacing w:line="360" w:lineRule="auto"/>
        <w:ind w:firstLine="480" w:firstLineChars="20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3、竞争性磋商文件；</w:t>
      </w:r>
    </w:p>
    <w:p w14:paraId="601C8094">
      <w:pPr>
        <w:spacing w:line="360" w:lineRule="auto"/>
        <w:ind w:firstLine="480" w:firstLineChars="20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4、乙方在竞争性磋商过程中所作的其它承诺、声明、书面澄清等。</w:t>
      </w:r>
    </w:p>
    <w:p w14:paraId="64FE607A">
      <w:pPr>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
          <w:bCs/>
          <w:color w:val="auto"/>
          <w:kern w:val="2"/>
          <w:sz w:val="24"/>
          <w:szCs w:val="24"/>
          <w:highlight w:val="none"/>
        </w:rPr>
        <w:t>三、合同价款：</w:t>
      </w:r>
    </w:p>
    <w:p w14:paraId="4E5D99B1">
      <w:pPr>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1、合同价款为人民币（大写）</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
          <w:bCs/>
          <w:color w:val="auto"/>
          <w:kern w:val="2"/>
          <w:sz w:val="24"/>
          <w:szCs w:val="24"/>
          <w:highlight w:val="none"/>
        </w:rPr>
        <w:t>元</w:t>
      </w:r>
      <w:r>
        <w:rPr>
          <w:rFonts w:hint="eastAsia" w:ascii="宋体" w:hAnsi="宋体" w:eastAsia="宋体" w:cs="宋体"/>
          <w:bCs/>
          <w:color w:val="auto"/>
          <w:kern w:val="2"/>
          <w:sz w:val="24"/>
          <w:szCs w:val="24"/>
          <w:highlight w:val="none"/>
        </w:rPr>
        <w:t>（￥：       ）</w:t>
      </w:r>
      <w:r>
        <w:rPr>
          <w:rFonts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eastAsia="zh-Hans"/>
        </w:rPr>
        <w:t>价格含税</w:t>
      </w:r>
      <w:r>
        <w:rPr>
          <w:rFonts w:ascii="宋体" w:hAnsi="宋体" w:eastAsia="宋体" w:cs="宋体"/>
          <w:bCs/>
          <w:color w:val="auto"/>
          <w:kern w:val="2"/>
          <w:sz w:val="24"/>
          <w:szCs w:val="24"/>
          <w:highlight w:val="none"/>
          <w:lang w:eastAsia="zh-Hans"/>
        </w:rPr>
        <w:t>，</w:t>
      </w:r>
      <w:r>
        <w:rPr>
          <w:rFonts w:hint="eastAsia" w:ascii="宋体" w:hAnsi="宋体" w:eastAsia="宋体" w:cs="宋体"/>
          <w:bCs/>
          <w:color w:val="auto"/>
          <w:kern w:val="2"/>
          <w:sz w:val="24"/>
          <w:szCs w:val="24"/>
          <w:highlight w:val="none"/>
          <w:lang w:eastAsia="zh-Hans"/>
        </w:rPr>
        <w:t>税率为</w:t>
      </w:r>
      <w:r>
        <w:rPr>
          <w:rFonts w:ascii="宋体" w:hAnsi="宋体" w:eastAsia="宋体" w:cs="宋体"/>
          <w:bCs/>
          <w:color w:val="auto"/>
          <w:kern w:val="2"/>
          <w:sz w:val="24"/>
          <w:szCs w:val="24"/>
          <w:highlight w:val="none"/>
          <w:lang w:eastAsia="zh-Hans"/>
        </w:rPr>
        <w:t xml:space="preserve">   %</w:t>
      </w:r>
      <w:r>
        <w:rPr>
          <w:rFonts w:hint="eastAsia" w:ascii="宋体" w:hAnsi="宋体" w:eastAsia="宋体" w:cs="宋体"/>
          <w:bCs/>
          <w:color w:val="auto"/>
          <w:kern w:val="2"/>
          <w:sz w:val="24"/>
          <w:szCs w:val="24"/>
          <w:highlight w:val="none"/>
        </w:rPr>
        <w:t>。合同总价款包含</w:t>
      </w:r>
      <w:r>
        <w:rPr>
          <w:rFonts w:hint="eastAsia" w:ascii="宋体" w:hAnsi="宋体" w:eastAsia="宋体" w:cs="宋体"/>
          <w:color w:val="auto"/>
          <w:spacing w:val="-6"/>
          <w:kern w:val="2"/>
          <w:sz w:val="24"/>
          <w:szCs w:val="24"/>
          <w:highlight w:val="none"/>
        </w:rPr>
        <w:t>人工工资、交通费、宣传、培训费用</w:t>
      </w:r>
      <w:r>
        <w:rPr>
          <w:rFonts w:hint="eastAsia" w:ascii="宋体" w:hAnsi="宋体" w:eastAsia="宋体" w:cs="宋体"/>
          <w:color w:val="auto"/>
          <w:spacing w:val="-6"/>
          <w:kern w:val="2"/>
          <w:sz w:val="24"/>
          <w:szCs w:val="24"/>
          <w:highlight w:val="none"/>
          <w:lang w:eastAsia="zh-CN"/>
        </w:rPr>
        <w:t>、</w:t>
      </w:r>
      <w:r>
        <w:rPr>
          <w:rFonts w:hint="eastAsia" w:ascii="宋体" w:hAnsi="宋体" w:eastAsia="宋体" w:cs="宋体"/>
          <w:color w:val="auto"/>
          <w:spacing w:val="-6"/>
          <w:kern w:val="2"/>
          <w:sz w:val="24"/>
          <w:szCs w:val="24"/>
          <w:highlight w:val="none"/>
        </w:rPr>
        <w:t>场地费、聘请专家服务费、管理费、</w:t>
      </w:r>
      <w:r>
        <w:rPr>
          <w:rFonts w:hint="eastAsia" w:ascii="宋体" w:hAnsi="宋体" w:eastAsia="宋体" w:cs="宋体"/>
          <w:color w:val="auto"/>
          <w:spacing w:val="-6"/>
          <w:kern w:val="2"/>
          <w:sz w:val="24"/>
          <w:szCs w:val="24"/>
          <w:highlight w:val="none"/>
          <w:lang w:eastAsia="zh-CN"/>
        </w:rPr>
        <w:t>安装费、材料费、</w:t>
      </w:r>
      <w:r>
        <w:rPr>
          <w:rFonts w:hint="eastAsia" w:ascii="宋体" w:hAnsi="宋体" w:eastAsia="宋体" w:cs="宋体"/>
          <w:color w:val="auto"/>
          <w:spacing w:val="-6"/>
          <w:kern w:val="2"/>
          <w:sz w:val="24"/>
          <w:szCs w:val="24"/>
          <w:highlight w:val="none"/>
        </w:rPr>
        <w:t>税费等完成本项目全部内容所需的全部费用。（详见</w:t>
      </w:r>
      <w:r>
        <w:rPr>
          <w:rFonts w:hint="eastAsia" w:ascii="宋体" w:hAnsi="宋体" w:eastAsia="宋体" w:cs="宋体"/>
          <w:color w:val="auto"/>
          <w:spacing w:val="-6"/>
          <w:kern w:val="2"/>
          <w:sz w:val="24"/>
          <w:szCs w:val="24"/>
          <w:highlight w:val="none"/>
          <w:lang w:val="en-US" w:eastAsia="zh-CN"/>
        </w:rPr>
        <w:t>磋商响应</w:t>
      </w:r>
      <w:r>
        <w:rPr>
          <w:rFonts w:hint="eastAsia" w:ascii="宋体" w:hAnsi="宋体" w:eastAsia="宋体" w:cs="宋体"/>
          <w:color w:val="auto"/>
          <w:spacing w:val="-6"/>
          <w:kern w:val="2"/>
          <w:sz w:val="24"/>
          <w:szCs w:val="24"/>
          <w:highlight w:val="none"/>
        </w:rPr>
        <w:t>报价明细表）</w:t>
      </w:r>
    </w:p>
    <w:p w14:paraId="3F8D60C1">
      <w:pPr>
        <w:spacing w:line="560" w:lineRule="exact"/>
        <w:ind w:firstLine="482" w:firstLineChars="200"/>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2、付款方式：</w:t>
      </w:r>
    </w:p>
    <w:p w14:paraId="3FDADDD8">
      <w:pPr>
        <w:spacing w:line="560" w:lineRule="exact"/>
        <w:ind w:firstLine="480" w:firstLineChars="200"/>
        <w:rPr>
          <w:rFonts w:hint="eastAsia" w:ascii="宋体" w:hAnsi="宋体" w:eastAsia="宋体" w:cs="Times New Roman"/>
          <w:bCs/>
          <w:color w:val="auto"/>
          <w:kern w:val="2"/>
          <w:sz w:val="24"/>
          <w:szCs w:val="24"/>
          <w:highlight w:val="none"/>
        </w:rPr>
      </w:pPr>
      <w:r>
        <w:rPr>
          <w:rFonts w:hint="eastAsia" w:ascii="宋体" w:hAnsi="宋体" w:eastAsia="宋体" w:cs="Times New Roman"/>
          <w:bCs/>
          <w:color w:val="auto"/>
          <w:kern w:val="2"/>
          <w:sz w:val="24"/>
          <w:szCs w:val="24"/>
          <w:highlight w:val="none"/>
          <w:lang w:val="en-US" w:eastAsia="zh-CN"/>
        </w:rPr>
        <w:t>2</w:t>
      </w:r>
      <w:r>
        <w:rPr>
          <w:rFonts w:hint="eastAsia" w:ascii="宋体" w:hAnsi="宋体" w:eastAsia="宋体" w:cs="Times New Roman"/>
          <w:bCs/>
          <w:color w:val="auto"/>
          <w:kern w:val="2"/>
          <w:sz w:val="24"/>
          <w:szCs w:val="24"/>
          <w:highlight w:val="none"/>
        </w:rPr>
        <w:t>.1合同签订后</w:t>
      </w:r>
      <w:r>
        <w:rPr>
          <w:rFonts w:hint="eastAsia" w:ascii="宋体" w:hAnsi="宋体" w:eastAsia="宋体" w:cs="Times New Roman"/>
          <w:bCs/>
          <w:color w:val="auto"/>
          <w:kern w:val="2"/>
          <w:sz w:val="24"/>
          <w:szCs w:val="24"/>
          <w:highlight w:val="none"/>
          <w:lang w:val="en-US" w:eastAsia="zh-CN"/>
        </w:rPr>
        <w:t>30</w:t>
      </w:r>
      <w:r>
        <w:rPr>
          <w:rFonts w:hint="eastAsia" w:ascii="宋体" w:hAnsi="宋体" w:eastAsia="宋体" w:cs="Times New Roman"/>
          <w:bCs/>
          <w:color w:val="auto"/>
          <w:kern w:val="2"/>
          <w:sz w:val="24"/>
          <w:szCs w:val="24"/>
          <w:highlight w:val="none"/>
        </w:rPr>
        <w:t>日内，预付半年运维费用，剩余费用在合同结束后次月支付。以半年为维度对运维工作进行考核，考核高于90分的全额支付，考核高于80分低于90分的，按百分制比例付款；考核低于80分的，解除合同。上半年考核情况在下半年付款时兑现。</w:t>
      </w:r>
    </w:p>
    <w:p w14:paraId="20152A55">
      <w:pPr>
        <w:spacing w:line="560" w:lineRule="exact"/>
        <w:ind w:firstLine="480" w:firstLineChars="200"/>
        <w:rPr>
          <w:rFonts w:hint="eastAsia" w:ascii="宋体" w:hAnsi="宋体" w:eastAsia="宋体" w:cs="宋体"/>
          <w:color w:val="auto"/>
          <w:spacing w:val="-6"/>
          <w:kern w:val="2"/>
          <w:sz w:val="24"/>
          <w:szCs w:val="24"/>
          <w:highlight w:val="none"/>
        </w:rPr>
      </w:pPr>
      <w:r>
        <w:rPr>
          <w:rFonts w:hint="eastAsia" w:ascii="宋体" w:hAnsi="宋体" w:eastAsia="宋体" w:cs="Times New Roman"/>
          <w:bCs/>
          <w:color w:val="auto"/>
          <w:kern w:val="2"/>
          <w:sz w:val="24"/>
          <w:szCs w:val="24"/>
          <w:highlight w:val="none"/>
          <w:lang w:val="en-US" w:eastAsia="zh-CN"/>
        </w:rPr>
        <w:t>2.2</w:t>
      </w:r>
      <w:r>
        <w:rPr>
          <w:rFonts w:hint="eastAsia" w:ascii="宋体" w:hAnsi="宋体" w:eastAsia="宋体" w:cs="Times New Roman"/>
          <w:bCs/>
          <w:color w:val="auto"/>
          <w:kern w:val="2"/>
          <w:sz w:val="24"/>
          <w:szCs w:val="24"/>
          <w:highlight w:val="none"/>
        </w:rPr>
        <w:t>乙方申请付款前须出具符合甲方要求的正规税费发票</w:t>
      </w:r>
      <w:r>
        <w:rPr>
          <w:rFonts w:ascii="宋体" w:hAnsi="宋体" w:eastAsia="宋体" w:cs="Times New Roman"/>
          <w:bCs/>
          <w:color w:val="auto"/>
          <w:kern w:val="2"/>
          <w:sz w:val="24"/>
          <w:szCs w:val="24"/>
          <w:highlight w:val="none"/>
        </w:rPr>
        <w:t>，</w:t>
      </w:r>
      <w:r>
        <w:rPr>
          <w:rFonts w:hint="eastAsia" w:ascii="宋体" w:hAnsi="宋体" w:eastAsia="宋体" w:cs="Times New Roman"/>
          <w:bCs/>
          <w:color w:val="auto"/>
          <w:kern w:val="2"/>
          <w:sz w:val="24"/>
          <w:szCs w:val="24"/>
          <w:highlight w:val="none"/>
          <w:lang w:eastAsia="zh-Hans"/>
        </w:rPr>
        <w:t>甲方审核无误后付款</w:t>
      </w:r>
      <w:r>
        <w:rPr>
          <w:rFonts w:hint="eastAsia" w:ascii="宋体" w:hAnsi="宋体" w:eastAsia="宋体" w:cs="Times New Roman"/>
          <w:bCs/>
          <w:color w:val="auto"/>
          <w:kern w:val="2"/>
          <w:sz w:val="24"/>
          <w:szCs w:val="24"/>
          <w:highlight w:val="none"/>
        </w:rPr>
        <w:t>。</w:t>
      </w:r>
    </w:p>
    <w:p w14:paraId="5377D2B5">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四、技术资料</w:t>
      </w:r>
    </w:p>
    <w:p w14:paraId="7D10FD09">
      <w:pPr>
        <w:widowControl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1、乙方应按甲方工作要求以及磋商文件规定的时间向甲方提供有关技术资料。</w:t>
      </w:r>
    </w:p>
    <w:p w14:paraId="392ACC3D">
      <w:pPr>
        <w:widowControl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果乙方违反，按照合同金额10%支付违约金，并承担给甲方造成的损失。</w:t>
      </w:r>
    </w:p>
    <w:p w14:paraId="70466E95">
      <w:pPr>
        <w:spacing w:line="360" w:lineRule="auto"/>
        <w:rPr>
          <w:rFonts w:hint="eastAsia" w:ascii="宋体" w:hAnsi="宋体" w:eastAsia="Times New Roman" w:cs="宋体"/>
          <w:b/>
          <w:bCs/>
          <w:color w:val="auto"/>
          <w:kern w:val="2"/>
          <w:sz w:val="24"/>
          <w:szCs w:val="24"/>
          <w:highlight w:val="none"/>
          <w:lang w:eastAsia="zh-Hans"/>
        </w:rPr>
      </w:pPr>
      <w:r>
        <w:rPr>
          <w:rFonts w:hint="eastAsia" w:ascii="宋体" w:hAnsi="宋体" w:eastAsia="宋体" w:cs="宋体"/>
          <w:b/>
          <w:bCs/>
          <w:color w:val="auto"/>
          <w:kern w:val="2"/>
          <w:sz w:val="24"/>
          <w:szCs w:val="24"/>
          <w:highlight w:val="none"/>
          <w:lang w:eastAsia="zh-Hans"/>
        </w:rPr>
        <w:t>五</w:t>
      </w:r>
      <w:r>
        <w:rPr>
          <w:rFonts w:ascii="宋体" w:hAnsi="宋体" w:eastAsia="宋体" w:cs="宋体"/>
          <w:b/>
          <w:bCs/>
          <w:color w:val="auto"/>
          <w:kern w:val="2"/>
          <w:sz w:val="24"/>
          <w:szCs w:val="24"/>
          <w:highlight w:val="none"/>
          <w:lang w:eastAsia="zh-Hans"/>
        </w:rPr>
        <w:t>、</w:t>
      </w:r>
      <w:r>
        <w:rPr>
          <w:rFonts w:hint="eastAsia" w:ascii="宋体" w:hAnsi="宋体" w:eastAsia="宋体" w:cs="宋体"/>
          <w:b/>
          <w:bCs/>
          <w:color w:val="auto"/>
          <w:kern w:val="2"/>
          <w:sz w:val="24"/>
          <w:szCs w:val="24"/>
          <w:highlight w:val="none"/>
          <w:lang w:eastAsia="zh-Hans"/>
        </w:rPr>
        <w:t>验收方式</w:t>
      </w:r>
      <w:r>
        <w:rPr>
          <w:rFonts w:ascii="宋体" w:hAnsi="宋体" w:eastAsia="宋体" w:cs="宋体"/>
          <w:b/>
          <w:bCs/>
          <w:color w:val="auto"/>
          <w:kern w:val="2"/>
          <w:sz w:val="24"/>
          <w:szCs w:val="24"/>
          <w:highlight w:val="none"/>
          <w:lang w:eastAsia="zh-Hans"/>
        </w:rPr>
        <w:t>：</w:t>
      </w:r>
      <w:r>
        <w:rPr>
          <w:rFonts w:hint="eastAsia" w:ascii="宋体" w:hAnsi="宋体" w:eastAsia="宋体" w:cs="宋体"/>
          <w:b/>
          <w:bCs/>
          <w:color w:val="auto"/>
          <w:kern w:val="2"/>
          <w:sz w:val="24"/>
          <w:szCs w:val="24"/>
          <w:highlight w:val="none"/>
          <w:lang w:eastAsia="zh-Hans"/>
        </w:rPr>
        <w:t>甲方验收合格</w:t>
      </w:r>
    </w:p>
    <w:p w14:paraId="216E4DC2">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Hans"/>
        </w:rPr>
        <w:t>六</w:t>
      </w:r>
      <w:r>
        <w:rPr>
          <w:rFonts w:hint="eastAsia" w:ascii="宋体" w:hAnsi="宋体" w:eastAsia="宋体" w:cs="宋体"/>
          <w:b/>
          <w:bCs/>
          <w:color w:val="auto"/>
          <w:kern w:val="2"/>
          <w:sz w:val="24"/>
          <w:szCs w:val="24"/>
          <w:highlight w:val="none"/>
        </w:rPr>
        <w:t>、知识产权</w:t>
      </w:r>
    </w:p>
    <w:p w14:paraId="41D94FBB">
      <w:pPr>
        <w:widowControl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保证甲方在使用、接受本合同中资料和服务或其任何一部分时不受第三方提出侵犯其专利权、版权、商标权和工业设计权等知识产权的起诉。一旦出现侵权并影响到甲方使用该服务的，甲方有权解除合同，要求乙方退还应收取的合同价款、按照合同金额20%支付违约金，并由乙方赔偿造成的甲方全部损失。</w:t>
      </w:r>
    </w:p>
    <w:p w14:paraId="6787A330">
      <w:pPr>
        <w:rPr>
          <w:rFonts w:hint="eastAsia" w:ascii="宋体" w:hAnsi="宋体" w:eastAsia="宋体" w:cs="宋体"/>
          <w:b/>
          <w:bCs/>
          <w:color w:val="auto"/>
          <w:kern w:val="2"/>
          <w:sz w:val="24"/>
          <w:szCs w:val="24"/>
          <w:highlight w:val="none"/>
          <w:lang w:eastAsia="zh-Hans"/>
        </w:rPr>
      </w:pPr>
      <w:r>
        <w:rPr>
          <w:rFonts w:hint="eastAsia" w:ascii="宋体" w:hAnsi="宋体" w:eastAsia="宋体" w:cs="宋体"/>
          <w:b/>
          <w:bCs/>
          <w:color w:val="auto"/>
          <w:kern w:val="2"/>
          <w:sz w:val="24"/>
          <w:szCs w:val="24"/>
          <w:highlight w:val="none"/>
          <w:lang w:val="en-US" w:eastAsia="zh-CN"/>
        </w:rPr>
        <w:t>七、</w:t>
      </w:r>
      <w:r>
        <w:rPr>
          <w:rFonts w:hint="eastAsia" w:ascii="宋体" w:hAnsi="宋体" w:eastAsia="宋体" w:cs="宋体"/>
          <w:b/>
          <w:bCs/>
          <w:color w:val="auto"/>
          <w:kern w:val="2"/>
          <w:sz w:val="24"/>
          <w:szCs w:val="24"/>
          <w:highlight w:val="none"/>
          <w:lang w:eastAsia="zh-Hans"/>
        </w:rPr>
        <w:t>保密要求</w:t>
      </w:r>
    </w:p>
    <w:p w14:paraId="7ACC263E">
      <w:pPr>
        <w:widowControl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在本合同及其附件有效期内以及有效期结束两年之内，乙方有义务对从甲方处得到的信息保密，信息包括但不限于货物价格、文档资料、系统数据、客户清单、财务信息、技术秘密等，未经甲方书面许可，乙方不得向第三方透露本协议的条款。一经查实，乙方应承担合同总额30%的违约责任，违约责任不足以弥补损失的，乙方继续承担赔偿责任。</w:t>
      </w:r>
    </w:p>
    <w:p w14:paraId="61A5D9AD">
      <w:pPr>
        <w:widowControl w:val="0"/>
        <w:snapToGrid w:val="0"/>
        <w:spacing w:line="360" w:lineRule="auto"/>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八、税费</w:t>
      </w:r>
    </w:p>
    <w:p w14:paraId="397C2018">
      <w:pPr>
        <w:pStyle w:val="219"/>
        <w:spacing w:before="0" w:beforeLines="0" w:after="0"/>
        <w:ind w:firstLineChars="200"/>
        <w:jc w:val="left"/>
        <w:rPr>
          <w:rFonts w:hint="eastAsia" w:ascii="宋体" w:hAnsi="宋体" w:cs="宋体"/>
          <w:color w:val="auto"/>
          <w:sz w:val="24"/>
          <w:highlight w:val="none"/>
        </w:rPr>
      </w:pPr>
      <w:r>
        <w:rPr>
          <w:rFonts w:hint="eastAsia" w:ascii="宋体" w:hAnsi="宋体" w:cs="宋体"/>
          <w:color w:val="auto"/>
          <w:sz w:val="24"/>
          <w:highlight w:val="none"/>
        </w:rPr>
        <w:t>本合同执行中相关的一切税费均由乙方负担。</w:t>
      </w:r>
    </w:p>
    <w:p w14:paraId="64C4DC2D">
      <w:pPr>
        <w:widowControl w:val="0"/>
        <w:snapToGrid w:val="0"/>
        <w:spacing w:line="360" w:lineRule="auto"/>
        <w:jc w:val="both"/>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color w:val="auto"/>
          <w:kern w:val="2"/>
          <w:sz w:val="24"/>
          <w:szCs w:val="24"/>
          <w:highlight w:val="none"/>
          <w:lang w:val="en-US" w:eastAsia="zh-CN" w:bidi="ar-SA"/>
        </w:rPr>
        <w:t>违约责任</w:t>
      </w:r>
    </w:p>
    <w:p w14:paraId="05553135">
      <w:pPr>
        <w:widowControl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1、甲方无故逾期办理合同款支付手续的,应按逾期付款总额每日万分之五向乙方支付违约金，累计不超过合同金额10%。</w:t>
      </w:r>
    </w:p>
    <w:p w14:paraId="1374A5C7">
      <w:pPr>
        <w:widowControl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2、乙方逾期完成合同约定服务内容的，乙方应按逾期相应工作对应价款总额每日千分之六向甲方支付违约金，由甲方从待付合同款中扣除。累计逾期超过约定日期10个工作日不能完成的，甲方可解除本合同</w:t>
      </w:r>
      <w:r>
        <w:rPr>
          <w:rFonts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Hans" w:bidi="ar-SA"/>
        </w:rPr>
        <w:t>并不支付任何费用</w:t>
      </w:r>
      <w:r>
        <w:rPr>
          <w:rFonts w:hint="eastAsia" w:ascii="宋体" w:hAnsi="宋体" w:eastAsia="宋体" w:cs="宋体"/>
          <w:color w:val="auto"/>
          <w:kern w:val="2"/>
          <w:sz w:val="24"/>
          <w:szCs w:val="24"/>
          <w:highlight w:val="none"/>
          <w:lang w:val="en-US" w:eastAsia="zh-CN" w:bidi="ar-SA"/>
        </w:rPr>
        <w:t xml:space="preserve">。 </w:t>
      </w:r>
    </w:p>
    <w:p w14:paraId="7F5B3965">
      <w:pPr>
        <w:widowControl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3、乙方所交的评价资料或服务不符合项目需求要求、乙方响应文件承诺及国家有关行业质量标准的，甲方有权拒收并解除合同</w:t>
      </w:r>
      <w:r>
        <w:rPr>
          <w:rFonts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Hans" w:bidi="ar-SA"/>
        </w:rPr>
        <w:t>且甲方不支付任何费用</w:t>
      </w:r>
      <w:r>
        <w:rPr>
          <w:rFonts w:hint="eastAsia" w:ascii="宋体" w:hAnsi="宋体" w:eastAsia="宋体" w:cs="宋体"/>
          <w:color w:val="auto"/>
          <w:kern w:val="2"/>
          <w:sz w:val="24"/>
          <w:szCs w:val="24"/>
          <w:highlight w:val="none"/>
          <w:lang w:val="en-US" w:eastAsia="zh-CN" w:bidi="ar-SA"/>
        </w:rPr>
        <w:t>，已付费用乙方应予以退还。乙方经甲方同意进行修改、完善但逾期交付的，按乙方逾期交付处理。甲方同意乙方修改、完善后，乙方拒绝修改、完善的，甲方可单方面解除合同。</w:t>
      </w:r>
    </w:p>
    <w:p w14:paraId="0F830D18">
      <w:pPr>
        <w:widowControl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4、乙方应当如实将检查结果通报给甲方，如甲方发现乙方通报内容与客观情况失实，经警告后拒不改正的，甲方有权单方解除合同，要求乙方退还合同金额。</w:t>
      </w:r>
    </w:p>
    <w:p w14:paraId="6E54BCD2">
      <w:pPr>
        <w:widowControl w:val="0"/>
        <w:snapToGrid w:val="0"/>
        <w:spacing w:line="360" w:lineRule="auto"/>
        <w:ind w:firstLine="480" w:firstLineChars="20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5、乙方应保证廉洁检查，检查过程中严禁以任何形式索取好处费或其他与甲方约定之外的行为。</w:t>
      </w:r>
    </w:p>
    <w:p w14:paraId="76ADCF63">
      <w:pPr>
        <w:widowControl w:val="0"/>
        <w:snapToGrid w:val="0"/>
        <w:spacing w:line="360" w:lineRule="auto"/>
        <w:ind w:firstLine="480" w:firstLineChars="200"/>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6、因一方违约导致诉讼的，违约方应承担守约方因诉讼而产生的费用，包括但不限于以下如：诉讼费、保全费、鉴定费、评估费、律师费等一切实现债权费用。</w:t>
      </w:r>
    </w:p>
    <w:p w14:paraId="1CD0285A">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十</w:t>
      </w:r>
      <w:r>
        <w:rPr>
          <w:rFonts w:hint="eastAsia" w:ascii="宋体" w:hAnsi="宋体" w:eastAsia="宋体" w:cs="宋体"/>
          <w:b/>
          <w:bCs/>
          <w:color w:val="auto"/>
          <w:kern w:val="2"/>
          <w:sz w:val="24"/>
          <w:szCs w:val="24"/>
          <w:highlight w:val="none"/>
        </w:rPr>
        <w:t>、不可抗力</w:t>
      </w:r>
    </w:p>
    <w:p w14:paraId="454E8CCF">
      <w:pPr>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1、因不可抗力不能履行合同的，根据不可抗力的影响，相应免除责任。但合同一方迟延履行后发生不可抗力从而造成严重后果的，不能免除责任。</w:t>
      </w:r>
    </w:p>
    <w:p w14:paraId="471A9254">
      <w:pPr>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2、合同一方因不可抗力不能履行合同的，应当及时通知对方，以减轻可能给对方造成的损失，并应当在合理期限内提供证明。</w:t>
      </w:r>
    </w:p>
    <w:p w14:paraId="39E3741A">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Hans"/>
        </w:rPr>
        <w:t>十</w:t>
      </w:r>
      <w:r>
        <w:rPr>
          <w:rFonts w:hint="eastAsia" w:ascii="宋体" w:hAnsi="宋体" w:eastAsia="宋体" w:cs="宋体"/>
          <w:b/>
          <w:bCs/>
          <w:color w:val="auto"/>
          <w:kern w:val="2"/>
          <w:sz w:val="24"/>
          <w:szCs w:val="24"/>
          <w:highlight w:val="none"/>
          <w:lang w:val="en-US" w:eastAsia="zh-CN"/>
        </w:rPr>
        <w:t>一</w:t>
      </w:r>
      <w:r>
        <w:rPr>
          <w:rFonts w:hint="eastAsia" w:ascii="宋体" w:hAnsi="宋体" w:eastAsia="宋体" w:cs="宋体"/>
          <w:b/>
          <w:bCs/>
          <w:color w:val="auto"/>
          <w:kern w:val="2"/>
          <w:sz w:val="24"/>
          <w:szCs w:val="24"/>
          <w:highlight w:val="none"/>
        </w:rPr>
        <w:t>、合同的解除和转让</w:t>
      </w:r>
    </w:p>
    <w:p w14:paraId="578B65FF">
      <w:pPr>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1、甲方和乙方协商一致，可以解除合同。</w:t>
      </w:r>
    </w:p>
    <w:p w14:paraId="062486D6">
      <w:pPr>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2、有下列情形之一，合同一方可以解除合同：</w:t>
      </w:r>
    </w:p>
    <w:p w14:paraId="144BF5E7">
      <w:pPr>
        <w:spacing w:line="360" w:lineRule="auto"/>
        <w:ind w:firstLine="360" w:firstLineChars="15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 ① 因不可抗力致使不能实现合同目的，双方均有权解除合同，并在不可抗力影响范围内免除相应违约责任；</w:t>
      </w:r>
    </w:p>
    <w:p w14:paraId="768A2626">
      <w:pPr>
        <w:spacing w:line="360" w:lineRule="auto"/>
        <w:ind w:firstLine="360" w:firstLineChars="15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 ② 甲方有权在乙方发生约定违约事实后书面通知对方以解除合同，合同在书面通知到达对方时解除。</w:t>
      </w:r>
    </w:p>
    <w:p w14:paraId="3254004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bCs/>
          <w:color w:val="auto"/>
          <w:kern w:val="2"/>
          <w:sz w:val="24"/>
          <w:szCs w:val="24"/>
          <w:highlight w:val="none"/>
        </w:rPr>
        <w:t>③</w:t>
      </w:r>
      <w:r>
        <w:rPr>
          <w:rFonts w:hint="eastAsia" w:ascii="宋体" w:hAnsi="宋体" w:eastAsia="宋体" w:cs="宋体"/>
          <w:color w:val="auto"/>
          <w:kern w:val="2"/>
          <w:sz w:val="24"/>
          <w:szCs w:val="24"/>
          <w:highlight w:val="none"/>
        </w:rPr>
        <w:t>乙方如出现挂靠和借用资质</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情况，不符合竞争性磋商文件要求，甲方有权单方解除合同。</w:t>
      </w:r>
    </w:p>
    <w:p w14:paraId="588359B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bCs/>
          <w:color w:val="auto"/>
          <w:kern w:val="2"/>
          <w:sz w:val="24"/>
          <w:szCs w:val="24"/>
          <w:highlight w:val="none"/>
        </w:rPr>
        <w:t>④合同的部分和全部都不得转让。甲方</w:t>
      </w:r>
      <w:r>
        <w:rPr>
          <w:rFonts w:hint="eastAsia" w:ascii="宋体" w:hAnsi="宋体" w:eastAsia="宋体" w:cs="宋体"/>
          <w:color w:val="auto"/>
          <w:kern w:val="2"/>
          <w:sz w:val="24"/>
          <w:szCs w:val="24"/>
          <w:highlight w:val="none"/>
        </w:rPr>
        <w:t>在项目实施期间将不定期进行抽查，如发现乙方违规甲方有权解除合同。</w:t>
      </w:r>
    </w:p>
    <w:p w14:paraId="0CAE488C">
      <w:pPr>
        <w:widowControl w:val="0"/>
        <w:snapToGrid w:val="0"/>
        <w:spacing w:line="360" w:lineRule="auto"/>
        <w:ind w:firstLine="480" w:firstLineChars="200"/>
        <w:jc w:val="left"/>
        <w:rPr>
          <w:rFonts w:ascii="宋体" w:hAnsi="Courier New" w:eastAsia="宋体" w:cs="Times New Roman"/>
          <w:color w:val="auto"/>
          <w:kern w:val="2"/>
          <w:sz w:val="21"/>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3、</w:t>
      </w:r>
      <w:r>
        <w:rPr>
          <w:rFonts w:hint="eastAsia" w:ascii="宋体" w:hAnsi="宋体" w:eastAsia="宋体" w:cs="宋体"/>
          <w:color w:val="auto"/>
          <w:kern w:val="2"/>
          <w:sz w:val="24"/>
          <w:szCs w:val="24"/>
          <w:highlight w:val="none"/>
          <w:lang w:val="en-US" w:eastAsia="zh-CN" w:bidi="ar-SA"/>
        </w:rPr>
        <w:t>乙方因逾期交付、交付服务内容不符合约定或上述其他违约行为导致甲方解除合同的，乙方应退还已经收取的合同价款、向甲方支付合同总值20%的违约金，并赔偿由于乙方违约行为造成的甲方损失。</w:t>
      </w:r>
    </w:p>
    <w:p w14:paraId="349D9A6D">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十二</w:t>
      </w:r>
      <w:r>
        <w:rPr>
          <w:rFonts w:hint="eastAsia" w:ascii="宋体" w:hAnsi="宋体" w:eastAsia="宋体" w:cs="宋体"/>
          <w:b/>
          <w:bCs/>
          <w:color w:val="auto"/>
          <w:kern w:val="2"/>
          <w:sz w:val="24"/>
          <w:szCs w:val="24"/>
          <w:highlight w:val="none"/>
        </w:rPr>
        <w:t xml:space="preserve">、合同的生效 </w:t>
      </w:r>
    </w:p>
    <w:p w14:paraId="555A8AA9">
      <w:pPr>
        <w:spacing w:line="360" w:lineRule="auto"/>
        <w:ind w:firstLine="480" w:firstLineChars="20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本合同经甲方、乙方双方签字并盖章之日即生效。</w:t>
      </w:r>
    </w:p>
    <w:p w14:paraId="2F1F6F23">
      <w:pPr>
        <w:spacing w:line="360" w:lineRule="auto"/>
        <w:ind w:firstLine="480" w:firstLineChars="20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（1）合同生效及其效力应符合《中华人民共和国民法典》有关规定。</w:t>
      </w:r>
    </w:p>
    <w:p w14:paraId="2F86F09D">
      <w:pPr>
        <w:spacing w:line="360" w:lineRule="auto"/>
        <w:ind w:firstLine="480" w:firstLineChars="20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（2）合同应经当事人法定代表人或委托代理人签字，加盖双方合同专用章或公章。</w:t>
      </w:r>
    </w:p>
    <w:p w14:paraId="37683425">
      <w:pPr>
        <w:spacing w:line="360" w:lineRule="auto"/>
        <w:ind w:firstLine="480" w:firstLineChars="20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（3）合同所包括附件，是合同不可分割的一部分，具有同等法律效力。</w:t>
      </w:r>
    </w:p>
    <w:p w14:paraId="658974C2">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十三</w:t>
      </w:r>
      <w:r>
        <w:rPr>
          <w:rFonts w:hint="eastAsia" w:ascii="宋体" w:hAnsi="宋体" w:eastAsia="宋体" w:cs="宋体"/>
          <w:b/>
          <w:bCs/>
          <w:color w:val="auto"/>
          <w:kern w:val="2"/>
          <w:sz w:val="24"/>
          <w:szCs w:val="24"/>
          <w:highlight w:val="none"/>
        </w:rPr>
        <w:t>、争议解决</w:t>
      </w:r>
    </w:p>
    <w:p w14:paraId="1578A0F9">
      <w:pPr>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bCs/>
          <w:color w:val="auto"/>
          <w:kern w:val="2"/>
          <w:sz w:val="24"/>
          <w:szCs w:val="24"/>
          <w:highlight w:val="none"/>
        </w:rPr>
        <w:t>甲乙双方因合同发生争议，签约双方应友好协商解决。</w:t>
      </w:r>
      <w:r>
        <w:rPr>
          <w:rFonts w:hint="eastAsia" w:ascii="宋体" w:hAnsi="宋体" w:eastAsia="宋体" w:cs="宋体"/>
          <w:color w:val="auto"/>
          <w:kern w:val="2"/>
          <w:sz w:val="24"/>
          <w:szCs w:val="24"/>
          <w:highlight w:val="none"/>
        </w:rPr>
        <w:t>如未能达成一致，可提交有关主管部门调解；协商或调解不成的，依法向甲方所在地人民法院起诉。</w:t>
      </w:r>
    </w:p>
    <w:p w14:paraId="6CDF5EA7">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十四</w:t>
      </w:r>
      <w:r>
        <w:rPr>
          <w:rFonts w:hint="eastAsia" w:ascii="宋体" w:hAnsi="宋体" w:eastAsia="宋体" w:cs="宋体"/>
          <w:b/>
          <w:bCs/>
          <w:color w:val="auto"/>
          <w:kern w:val="2"/>
          <w:sz w:val="24"/>
          <w:szCs w:val="24"/>
          <w:highlight w:val="none"/>
        </w:rPr>
        <w:t>、附则</w:t>
      </w:r>
    </w:p>
    <w:p w14:paraId="75CC2710">
      <w:pPr>
        <w:spacing w:line="360" w:lineRule="auto"/>
        <w:ind w:firstLine="480" w:firstLineChars="20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1、合同份数</w:t>
      </w:r>
    </w:p>
    <w:p w14:paraId="3A4E4F6C">
      <w:pPr>
        <w:spacing w:line="360" w:lineRule="auto"/>
        <w:ind w:firstLine="480" w:firstLineChars="20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本合同正本一式</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rPr>
        <w:t>肆</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份， 甲乙双方各执</w:t>
      </w:r>
      <w:r>
        <w:rPr>
          <w:rFonts w:hint="eastAsia" w:ascii="宋体" w:hAnsi="宋体" w:eastAsia="宋体" w:cs="宋体"/>
          <w:bCs/>
          <w:color w:val="auto"/>
          <w:kern w:val="2"/>
          <w:sz w:val="24"/>
          <w:szCs w:val="24"/>
          <w:highlight w:val="none"/>
          <w:u w:val="single"/>
        </w:rPr>
        <w:t xml:space="preserve"> 贰 </w:t>
      </w:r>
      <w:r>
        <w:rPr>
          <w:rFonts w:hint="eastAsia" w:ascii="宋体" w:hAnsi="宋体" w:eastAsia="宋体" w:cs="宋体"/>
          <w:bCs/>
          <w:color w:val="auto"/>
          <w:kern w:val="2"/>
          <w:sz w:val="24"/>
          <w:szCs w:val="24"/>
          <w:highlight w:val="none"/>
        </w:rPr>
        <w:t>份。</w:t>
      </w:r>
    </w:p>
    <w:p w14:paraId="0F0A61A3">
      <w:pPr>
        <w:widowControl w:val="0"/>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2、甲乙双方确认往来文件及诉讼、执行法律文书送达地址为：</w:t>
      </w:r>
    </w:p>
    <w:p w14:paraId="750B72B6">
      <w:pPr>
        <w:widowControl w:val="0"/>
        <w:snapToGrid w:val="0"/>
        <w:spacing w:before="120" w:after="120"/>
        <w:ind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甲方地址：                    乙方地址： </w:t>
      </w:r>
    </w:p>
    <w:p w14:paraId="744E05A5">
      <w:pPr>
        <w:widowControl w:val="0"/>
        <w:snapToGrid w:val="0"/>
        <w:spacing w:before="120" w:after="120" w:line="360" w:lineRule="auto"/>
        <w:ind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收件人：                      收件人： </w:t>
      </w:r>
    </w:p>
    <w:p w14:paraId="650456E9">
      <w:pPr>
        <w:widowControl w:val="0"/>
        <w:snapToGrid w:val="0"/>
        <w:spacing w:before="120" w:after="120" w:line="360" w:lineRule="auto"/>
        <w:ind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邮政编码：                    邮政编码： </w:t>
      </w:r>
    </w:p>
    <w:p w14:paraId="485774F8">
      <w:pPr>
        <w:widowControl w:val="0"/>
        <w:snapToGrid w:val="0"/>
        <w:spacing w:before="120" w:after="120" w:line="360" w:lineRule="auto"/>
        <w:ind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联系电话：                    联系电话： </w:t>
      </w:r>
    </w:p>
    <w:p w14:paraId="40459834">
      <w:pPr>
        <w:widowControl w:val="0"/>
        <w:snapToGrid w:val="0"/>
        <w:spacing w:before="120" w:after="120" w:line="360" w:lineRule="auto"/>
        <w:ind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传真：                        传真： </w:t>
      </w:r>
    </w:p>
    <w:p w14:paraId="55006CBB">
      <w:pPr>
        <w:widowControl w:val="0"/>
        <w:snapToGrid w:val="0"/>
        <w:spacing w:before="120" w:after="120" w:line="360" w:lineRule="auto"/>
        <w:ind w:firstLine="480" w:firstLineChars="200"/>
        <w:jc w:val="both"/>
        <w:rPr>
          <w:rFonts w:hint="eastAsia" w:ascii="宋体" w:hAnsi="Courier New" w:eastAsia="宋体" w:cs="Times New Roman"/>
          <w:kern w:val="2"/>
          <w:sz w:val="21"/>
          <w:szCs w:val="20"/>
          <w:highlight w:val="none"/>
          <w:lang w:val="en-US" w:eastAsia="zh-CN" w:bidi="ar-SA"/>
        </w:rPr>
      </w:pPr>
      <w:r>
        <w:rPr>
          <w:rFonts w:hint="eastAsia" w:ascii="宋体" w:hAnsi="宋体" w:eastAsia="宋体" w:cs="宋体"/>
          <w:bCs/>
          <w:color w:val="auto"/>
          <w:kern w:val="2"/>
          <w:sz w:val="24"/>
          <w:szCs w:val="24"/>
          <w:highlight w:val="none"/>
          <w:lang w:val="en-US" w:eastAsia="zh-CN" w:bidi="ar-SA"/>
        </w:rPr>
        <w:t>按上述地址邮寄的文件及诉讼、执行法律文书，不论收到或者退回，均视为收件人收到，相应法律后果由收件人承担；一方若指定其他地址或地址变更，须及时以书面形式通知另一方，怠于通知的一方应当承担不利的法律后果。</w:t>
      </w:r>
    </w:p>
    <w:p w14:paraId="591B2794">
      <w:pPr>
        <w:spacing w:line="360" w:lineRule="auto"/>
        <w:ind w:firstLine="480" w:firstLineChars="20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3、未尽事宜：</w:t>
      </w:r>
    </w:p>
    <w:p w14:paraId="001F02CF">
      <w:pPr>
        <w:spacing w:line="360" w:lineRule="auto"/>
        <w:ind w:firstLine="480" w:firstLineChars="200"/>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本合同未尽事宜应按《中华人民共和国民法典》《中华人民共和国政府采购法》以及相关法律、法规之规定解释。</w:t>
      </w:r>
    </w:p>
    <w:p w14:paraId="722041CA">
      <w:pPr>
        <w:spacing w:line="360" w:lineRule="auto"/>
        <w:ind w:firstLine="480" w:firstLineChars="200"/>
        <w:jc w:val="left"/>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附件：运维服务考核表</w:t>
      </w:r>
    </w:p>
    <w:p w14:paraId="08826C35">
      <w:pPr>
        <w:spacing w:line="420" w:lineRule="exact"/>
        <w:ind w:left="360"/>
        <w:rPr>
          <w:rFonts w:hint="eastAsia" w:ascii="宋体" w:hAnsi="宋体" w:eastAsia="宋体" w:cs="宋体"/>
          <w:bCs/>
          <w:color w:val="auto"/>
          <w:kern w:val="2"/>
          <w:sz w:val="24"/>
          <w:szCs w:val="24"/>
          <w:highlight w:val="none"/>
        </w:rPr>
      </w:pPr>
    </w:p>
    <w:p w14:paraId="53CBDA38">
      <w:pPr>
        <w:spacing w:line="420" w:lineRule="exact"/>
        <w:ind w:firstLine="240" w:firstLineChars="1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甲方：（公章）                     乙方：（公章）               </w:t>
      </w:r>
    </w:p>
    <w:p w14:paraId="15649E61">
      <w:pPr>
        <w:spacing w:line="420" w:lineRule="exact"/>
        <w:ind w:firstLine="240" w:firstLineChars="1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地址：                             地址：</w:t>
      </w:r>
      <w:r>
        <w:rPr>
          <w:rFonts w:hint="eastAsia" w:ascii="宋体" w:hAnsi="宋体" w:eastAsia="宋体" w:cs="宋体"/>
          <w:color w:val="auto"/>
          <w:kern w:val="2"/>
          <w:sz w:val="24"/>
          <w:szCs w:val="24"/>
          <w:highlight w:val="none"/>
        </w:rPr>
        <w:t xml:space="preserve">                          </w:t>
      </w:r>
    </w:p>
    <w:p w14:paraId="501D82AF">
      <w:pPr>
        <w:spacing w:line="420" w:lineRule="exact"/>
        <w:ind w:firstLine="240" w:firstLineChars="1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法定代表人：                       法定代表人：                    </w:t>
      </w:r>
    </w:p>
    <w:p w14:paraId="5D265E1D">
      <w:pPr>
        <w:spacing w:line="420" w:lineRule="exact"/>
        <w:ind w:firstLine="240" w:firstLineChars="1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委托代表人：                       委托代表人：                    </w:t>
      </w:r>
    </w:p>
    <w:p w14:paraId="2987D3FD">
      <w:pPr>
        <w:spacing w:line="420" w:lineRule="exact"/>
        <w:ind w:firstLine="240" w:firstLineChars="1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电   话：                          电  话：                       </w:t>
      </w:r>
    </w:p>
    <w:p w14:paraId="1F6F7858">
      <w:pPr>
        <w:spacing w:line="420" w:lineRule="exact"/>
        <w:ind w:firstLine="240" w:firstLineChars="1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传   真：                          传  真：                       </w:t>
      </w:r>
    </w:p>
    <w:p w14:paraId="7BFEDCA7">
      <w:pPr>
        <w:spacing w:line="420" w:lineRule="exact"/>
        <w:ind w:firstLine="240" w:firstLineChars="1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开户银行：                         开户银行：                     </w:t>
      </w:r>
    </w:p>
    <w:p w14:paraId="259CBBF7">
      <w:pPr>
        <w:spacing w:line="420" w:lineRule="exact"/>
        <w:ind w:firstLine="240" w:firstLineChars="1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帐 号：                            帐  号：  </w:t>
      </w:r>
    </w:p>
    <w:p w14:paraId="6149B3A7">
      <w:pPr>
        <w:spacing w:line="420" w:lineRule="exact"/>
        <w:ind w:firstLine="240" w:firstLineChars="1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邮政编码：                         邮政编码：             </w:t>
      </w:r>
    </w:p>
    <w:p w14:paraId="514249AD">
      <w:pPr>
        <w:spacing w:line="400" w:lineRule="exact"/>
        <w:rPr>
          <w:rFonts w:hint="eastAsia" w:ascii="宋体" w:hAnsi="宋体" w:eastAsia="宋体" w:cs="宋体"/>
          <w:bCs/>
          <w:color w:val="auto"/>
          <w:kern w:val="2"/>
          <w:sz w:val="24"/>
          <w:szCs w:val="24"/>
          <w:highlight w:val="none"/>
        </w:rPr>
      </w:pPr>
    </w:p>
    <w:p w14:paraId="6B9B9724">
      <w:pPr>
        <w:spacing w:line="400" w:lineRule="exact"/>
        <w:ind w:firstLine="240" w:firstLineChars="100"/>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签订地点：</w:t>
      </w:r>
      <w:r>
        <w:rPr>
          <w:rFonts w:hint="eastAsia" w:ascii="宋体" w:hAnsi="宋体" w:eastAsia="宋体" w:cs="宋体"/>
          <w:bCs/>
          <w:color w:val="auto"/>
          <w:kern w:val="2"/>
          <w:sz w:val="24"/>
          <w:szCs w:val="24"/>
          <w:highlight w:val="none"/>
          <w:u w:val="single"/>
        </w:rPr>
        <w:t xml:space="preserve">                    </w:t>
      </w:r>
    </w:p>
    <w:p w14:paraId="36168F0A">
      <w:pPr>
        <w:spacing w:line="360" w:lineRule="auto"/>
        <w:ind w:firstLine="240" w:firstLineChars="1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签订时间： </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年</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月</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日</w:t>
      </w:r>
    </w:p>
    <w:p w14:paraId="5BDD7459">
      <w:pPr>
        <w:rPr>
          <w:rFonts w:hint="eastAsia" w:ascii="Times New Roman" w:hAnsi="Times New Roman" w:eastAsia="宋体" w:cs="Times New Roman"/>
          <w:color w:val="auto"/>
          <w:kern w:val="2"/>
          <w:szCs w:val="24"/>
          <w:highlight w:val="none"/>
        </w:rPr>
      </w:pPr>
    </w:p>
    <w:p w14:paraId="39E0A508">
      <w:pPr>
        <w:widowControl w:val="0"/>
        <w:jc w:val="left"/>
        <w:rPr>
          <w:rFonts w:hint="eastAsia" w:ascii="Times New Roman" w:hAnsi="Times New Roman" w:eastAsia="宋体" w:cs="Times New Roman"/>
          <w:color w:val="auto"/>
          <w:kern w:val="2"/>
          <w:sz w:val="21"/>
          <w:szCs w:val="24"/>
          <w:highlight w:val="none"/>
          <w:lang w:val="en-US" w:eastAsia="zh-CN" w:bidi="ar-SA"/>
        </w:rPr>
      </w:pPr>
    </w:p>
    <w:p w14:paraId="3D6205E4">
      <w:pPr>
        <w:widowControl w:val="0"/>
        <w:jc w:val="left"/>
        <w:rPr>
          <w:rFonts w:hint="eastAsia" w:ascii="Times New Roman" w:hAnsi="Times New Roman" w:eastAsia="宋体" w:cs="Times New Roman"/>
          <w:color w:val="auto"/>
          <w:kern w:val="2"/>
          <w:sz w:val="21"/>
          <w:szCs w:val="24"/>
          <w:highlight w:val="none"/>
          <w:lang w:val="en-US" w:eastAsia="zh-CN" w:bidi="ar-SA"/>
        </w:rPr>
      </w:pPr>
    </w:p>
    <w:p w14:paraId="3B55842C">
      <w:pPr>
        <w:widowControl w:val="0"/>
        <w:jc w:val="left"/>
        <w:rPr>
          <w:rFonts w:hint="eastAsia" w:ascii="Times New Roman" w:hAnsi="Times New Roman" w:eastAsia="宋体" w:cs="Times New Roman"/>
          <w:color w:val="auto"/>
          <w:kern w:val="2"/>
          <w:sz w:val="21"/>
          <w:szCs w:val="24"/>
          <w:highlight w:val="none"/>
          <w:lang w:val="en-US" w:eastAsia="zh-CN" w:bidi="ar-SA"/>
        </w:rPr>
      </w:pPr>
    </w:p>
    <w:p w14:paraId="2B0A7DF7">
      <w:pPr>
        <w:widowControl w:val="0"/>
        <w:jc w:val="left"/>
        <w:rPr>
          <w:rFonts w:hint="eastAsia" w:ascii="Times New Roman" w:hAnsi="Times New Roman" w:eastAsia="宋体" w:cs="Times New Roman"/>
          <w:color w:val="auto"/>
          <w:kern w:val="2"/>
          <w:sz w:val="21"/>
          <w:szCs w:val="24"/>
          <w:highlight w:val="none"/>
          <w:lang w:val="en-US" w:eastAsia="zh-CN" w:bidi="ar-SA"/>
        </w:rPr>
      </w:pPr>
    </w:p>
    <w:p w14:paraId="2EC792F3">
      <w:pPr>
        <w:widowControl w:val="0"/>
        <w:jc w:val="left"/>
        <w:rPr>
          <w:rFonts w:hint="eastAsia" w:ascii="Times New Roman" w:hAnsi="Times New Roman" w:eastAsia="宋体" w:cs="Times New Roman"/>
          <w:color w:val="auto"/>
          <w:kern w:val="2"/>
          <w:sz w:val="21"/>
          <w:szCs w:val="24"/>
          <w:highlight w:val="none"/>
          <w:lang w:val="en-US" w:eastAsia="zh-CN" w:bidi="ar-SA"/>
        </w:rPr>
      </w:pPr>
    </w:p>
    <w:p w14:paraId="7C87477C">
      <w:pPr>
        <w:widowControl w:val="0"/>
        <w:jc w:val="left"/>
        <w:rPr>
          <w:rFonts w:hint="eastAsia" w:ascii="Times New Roman" w:hAnsi="Times New Roman" w:eastAsia="宋体" w:cs="Times New Roman"/>
          <w:color w:val="auto"/>
          <w:kern w:val="2"/>
          <w:sz w:val="21"/>
          <w:szCs w:val="24"/>
          <w:highlight w:val="none"/>
          <w:lang w:val="en-US" w:eastAsia="zh-CN" w:bidi="ar-SA"/>
        </w:rPr>
      </w:pPr>
    </w:p>
    <w:p w14:paraId="6156ADA1">
      <w:pPr>
        <w:widowControl w:val="0"/>
        <w:jc w:val="left"/>
        <w:rPr>
          <w:rFonts w:hint="eastAsia" w:ascii="Times New Roman" w:hAnsi="Times New Roman" w:eastAsia="宋体" w:cs="Times New Roman"/>
          <w:color w:val="auto"/>
          <w:kern w:val="2"/>
          <w:sz w:val="21"/>
          <w:szCs w:val="24"/>
          <w:highlight w:val="none"/>
          <w:lang w:val="en-US" w:eastAsia="zh-CN" w:bidi="ar-SA"/>
        </w:rPr>
      </w:pPr>
    </w:p>
    <w:p w14:paraId="2DE9111A">
      <w:pPr>
        <w:widowControl w:val="0"/>
        <w:jc w:val="left"/>
        <w:rPr>
          <w:rFonts w:hint="eastAsia" w:ascii="Times New Roman" w:hAnsi="Times New Roman" w:eastAsia="宋体" w:cs="Times New Roman"/>
          <w:color w:val="auto"/>
          <w:kern w:val="2"/>
          <w:sz w:val="21"/>
          <w:szCs w:val="24"/>
          <w:highlight w:val="none"/>
          <w:lang w:val="en-US" w:eastAsia="zh-CN" w:bidi="ar-SA"/>
        </w:rPr>
      </w:pPr>
    </w:p>
    <w:p w14:paraId="4B4EA232">
      <w:pPr>
        <w:widowControl w:val="0"/>
        <w:jc w:val="left"/>
        <w:rPr>
          <w:rFonts w:hint="eastAsia" w:ascii="Times New Roman" w:hAnsi="Times New Roman" w:eastAsia="宋体" w:cs="Times New Roman"/>
          <w:color w:val="auto"/>
          <w:kern w:val="2"/>
          <w:sz w:val="21"/>
          <w:szCs w:val="24"/>
          <w:highlight w:val="none"/>
          <w:lang w:val="en-US" w:eastAsia="zh-CN" w:bidi="ar-SA"/>
        </w:rPr>
      </w:pPr>
    </w:p>
    <w:p w14:paraId="2F405065">
      <w:pPr>
        <w:widowControl w:val="0"/>
        <w:jc w:val="left"/>
        <w:rPr>
          <w:rFonts w:hint="eastAsia" w:ascii="Times New Roman" w:hAnsi="Times New Roman" w:eastAsia="宋体" w:cs="Times New Roman"/>
          <w:color w:val="auto"/>
          <w:kern w:val="2"/>
          <w:sz w:val="21"/>
          <w:szCs w:val="24"/>
          <w:highlight w:val="none"/>
          <w:lang w:val="en-US" w:eastAsia="zh-CN" w:bidi="ar-SA"/>
        </w:rPr>
      </w:pPr>
    </w:p>
    <w:p w14:paraId="7F60AEDB">
      <w:pPr>
        <w:widowControl w:val="0"/>
        <w:jc w:val="left"/>
        <w:rPr>
          <w:rFonts w:hint="eastAsia" w:ascii="Times New Roman" w:hAnsi="Times New Roman" w:eastAsia="宋体" w:cs="Times New Roman"/>
          <w:color w:val="auto"/>
          <w:kern w:val="2"/>
          <w:sz w:val="21"/>
          <w:szCs w:val="24"/>
          <w:highlight w:val="none"/>
          <w:lang w:val="en-US" w:eastAsia="zh-CN" w:bidi="ar-SA"/>
        </w:rPr>
      </w:pPr>
    </w:p>
    <w:p w14:paraId="0885E9DA">
      <w:pPr>
        <w:widowControl w:val="0"/>
        <w:jc w:val="left"/>
        <w:rPr>
          <w:rFonts w:hint="eastAsia" w:ascii="Times New Roman" w:hAnsi="Times New Roman" w:eastAsia="宋体" w:cs="Times New Roman"/>
          <w:color w:val="auto"/>
          <w:kern w:val="2"/>
          <w:sz w:val="21"/>
          <w:szCs w:val="24"/>
          <w:highlight w:val="none"/>
          <w:lang w:val="en-US" w:eastAsia="zh-CN" w:bidi="ar-SA"/>
        </w:rPr>
      </w:pPr>
    </w:p>
    <w:p w14:paraId="020C244A">
      <w:pPr>
        <w:widowControl w:val="0"/>
        <w:jc w:val="left"/>
        <w:rPr>
          <w:rFonts w:hint="eastAsia" w:ascii="Times New Roman" w:hAnsi="Times New Roman" w:eastAsia="宋体" w:cs="Times New Roman"/>
          <w:color w:val="auto"/>
          <w:kern w:val="2"/>
          <w:sz w:val="21"/>
          <w:szCs w:val="24"/>
          <w:highlight w:val="none"/>
          <w:lang w:val="en-US" w:eastAsia="zh-CN" w:bidi="ar-SA"/>
        </w:rPr>
      </w:pPr>
    </w:p>
    <w:p w14:paraId="22A88132">
      <w:pPr>
        <w:widowControl w:val="0"/>
        <w:jc w:val="left"/>
        <w:rPr>
          <w:rFonts w:hint="eastAsia" w:ascii="Times New Roman" w:hAnsi="Times New Roman" w:eastAsia="宋体" w:cs="Times New Roman"/>
          <w:color w:val="auto"/>
          <w:kern w:val="2"/>
          <w:sz w:val="21"/>
          <w:szCs w:val="24"/>
          <w:highlight w:val="none"/>
          <w:lang w:val="en-US" w:eastAsia="zh-CN" w:bidi="ar-SA"/>
        </w:rPr>
      </w:pPr>
    </w:p>
    <w:p w14:paraId="3999A0AF">
      <w:pPr>
        <w:widowControl w:val="0"/>
        <w:jc w:val="left"/>
        <w:rPr>
          <w:rFonts w:hint="eastAsia" w:ascii="Times New Roman" w:hAnsi="Times New Roman" w:eastAsia="宋体" w:cs="Times New Roman"/>
          <w:color w:val="auto"/>
          <w:kern w:val="2"/>
          <w:sz w:val="21"/>
          <w:szCs w:val="24"/>
          <w:highlight w:val="none"/>
          <w:lang w:val="en-US" w:eastAsia="zh-CN" w:bidi="ar-SA"/>
        </w:rPr>
      </w:pPr>
    </w:p>
    <w:p w14:paraId="56B8CF04">
      <w:pPr>
        <w:widowControl w:val="0"/>
        <w:jc w:val="left"/>
        <w:rPr>
          <w:rFonts w:hint="eastAsia" w:ascii="Times New Roman" w:hAnsi="Times New Roman" w:eastAsia="宋体" w:cs="Times New Roman"/>
          <w:color w:val="auto"/>
          <w:kern w:val="2"/>
          <w:sz w:val="21"/>
          <w:szCs w:val="24"/>
          <w:highlight w:val="none"/>
          <w:lang w:val="en-US" w:eastAsia="zh-CN" w:bidi="ar-SA"/>
        </w:rPr>
      </w:pPr>
    </w:p>
    <w:p w14:paraId="50F2966A">
      <w:pPr>
        <w:widowControl w:val="0"/>
        <w:jc w:val="left"/>
        <w:rPr>
          <w:rFonts w:hint="eastAsia" w:ascii="Times New Roman" w:hAnsi="Times New Roman" w:eastAsia="宋体" w:cs="Times New Roman"/>
          <w:color w:val="auto"/>
          <w:kern w:val="2"/>
          <w:sz w:val="21"/>
          <w:szCs w:val="24"/>
          <w:highlight w:val="none"/>
          <w:lang w:val="en-US" w:eastAsia="zh-CN" w:bidi="ar-SA"/>
        </w:rPr>
      </w:pPr>
    </w:p>
    <w:p w14:paraId="4569E059">
      <w:pPr>
        <w:widowControl w:val="0"/>
        <w:jc w:val="left"/>
        <w:rPr>
          <w:rFonts w:hint="eastAsia" w:ascii="Times New Roman" w:hAnsi="Times New Roman" w:eastAsia="宋体" w:cs="Times New Roman"/>
          <w:color w:val="auto"/>
          <w:kern w:val="2"/>
          <w:sz w:val="21"/>
          <w:szCs w:val="24"/>
          <w:highlight w:val="none"/>
          <w:lang w:val="en-US" w:eastAsia="zh-CN" w:bidi="ar-SA"/>
        </w:rPr>
      </w:pPr>
    </w:p>
    <w:p w14:paraId="4718E6C9">
      <w:pPr>
        <w:widowControl w:val="0"/>
        <w:jc w:val="left"/>
        <w:rPr>
          <w:rFonts w:hint="eastAsia" w:ascii="Times New Roman" w:hAnsi="Times New Roman" w:eastAsia="宋体" w:cs="Times New Roman"/>
          <w:color w:val="auto"/>
          <w:kern w:val="2"/>
          <w:sz w:val="21"/>
          <w:szCs w:val="24"/>
          <w:highlight w:val="none"/>
          <w:lang w:val="en-US" w:eastAsia="zh-CN" w:bidi="ar-SA"/>
        </w:rPr>
      </w:pPr>
    </w:p>
    <w:p w14:paraId="4A519FCE">
      <w:pPr>
        <w:widowControl w:val="0"/>
        <w:jc w:val="left"/>
        <w:rPr>
          <w:rFonts w:hint="eastAsia" w:ascii="Times New Roman" w:hAnsi="Times New Roman" w:eastAsia="宋体" w:cs="Times New Roman"/>
          <w:color w:val="auto"/>
          <w:kern w:val="2"/>
          <w:sz w:val="21"/>
          <w:szCs w:val="24"/>
          <w:highlight w:val="none"/>
          <w:lang w:val="en-US" w:eastAsia="zh-CN" w:bidi="ar-SA"/>
        </w:rPr>
      </w:pPr>
    </w:p>
    <w:p w14:paraId="0549E9BC">
      <w:pPr>
        <w:spacing w:before="120" w:beforeLines="50" w:after="120" w:afterLines="50" w:line="500" w:lineRule="exact"/>
        <w:jc w:val="left"/>
        <w:rPr>
          <w:rFonts w:hint="eastAsia" w:ascii="方正小标宋简体" w:hAnsi="方正小标宋简体" w:eastAsia="方正小标宋简体" w:cs="方正小标宋简体"/>
          <w:color w:val="auto"/>
          <w:kern w:val="2"/>
          <w:sz w:val="32"/>
          <w:szCs w:val="32"/>
          <w:highlight w:val="none"/>
          <w:lang w:eastAsia="zh-CN"/>
        </w:rPr>
      </w:pPr>
      <w:r>
        <w:rPr>
          <w:rFonts w:hint="eastAsia" w:ascii="方正小标宋简体" w:hAnsi="方正小标宋简体" w:eastAsia="方正小标宋简体" w:cs="方正小标宋简体"/>
          <w:kern w:val="2"/>
          <w:sz w:val="32"/>
          <w:szCs w:val="32"/>
          <w:highlight w:val="none"/>
        </w:rPr>
        <w:br w:type="page"/>
      </w:r>
      <w:r>
        <w:rPr>
          <w:rFonts w:hint="eastAsia" w:ascii="方正小标宋简体" w:hAnsi="方正小标宋简体" w:eastAsia="方正小标宋简体" w:cs="方正小标宋简体"/>
          <w:color w:val="auto"/>
          <w:kern w:val="2"/>
          <w:sz w:val="32"/>
          <w:szCs w:val="32"/>
          <w:highlight w:val="none"/>
        </w:rPr>
        <w:t>附件：</w:t>
      </w:r>
      <w:r>
        <w:rPr>
          <w:rFonts w:hint="eastAsia" w:ascii="方正小标宋简体" w:hAnsi="方正小标宋简体" w:eastAsia="方正小标宋简体" w:cs="方正小标宋简体"/>
          <w:color w:val="auto"/>
          <w:kern w:val="2"/>
          <w:sz w:val="32"/>
          <w:szCs w:val="32"/>
          <w:highlight w:val="none"/>
          <w:lang w:val="en-US" w:eastAsia="zh-CN"/>
        </w:rPr>
        <w:t>1</w:t>
      </w:r>
    </w:p>
    <w:p w14:paraId="70B96A67">
      <w:pPr>
        <w:spacing w:before="120" w:beforeLines="50" w:after="120" w:afterLines="50" w:line="500" w:lineRule="exact"/>
        <w:jc w:val="center"/>
        <w:rPr>
          <w:rFonts w:ascii="方正小标宋简体" w:hAnsi="方正小标宋简体" w:eastAsia="方正小标宋简体" w:cs="方正小标宋简体"/>
          <w:color w:val="auto"/>
          <w:kern w:val="2"/>
          <w:sz w:val="32"/>
          <w:szCs w:val="32"/>
          <w:highlight w:val="none"/>
        </w:rPr>
      </w:pPr>
      <w:r>
        <w:rPr>
          <w:rFonts w:hint="eastAsia" w:ascii="方正小标宋简体" w:hAnsi="方正小标宋简体" w:eastAsia="方正小标宋简体" w:cs="方正小标宋简体"/>
          <w:color w:val="auto"/>
          <w:kern w:val="2"/>
          <w:sz w:val="32"/>
          <w:szCs w:val="32"/>
          <w:highlight w:val="none"/>
        </w:rPr>
        <w:t>运维服务考核表</w:t>
      </w:r>
    </w:p>
    <w:tbl>
      <w:tblPr>
        <w:tblStyle w:val="43"/>
        <w:tblW w:w="4983" w:type="pct"/>
        <w:tblInd w:w="-288" w:type="dxa"/>
        <w:tblLayout w:type="fixed"/>
        <w:tblCellMar>
          <w:top w:w="0" w:type="dxa"/>
          <w:left w:w="0" w:type="dxa"/>
          <w:bottom w:w="0" w:type="dxa"/>
          <w:right w:w="0" w:type="dxa"/>
        </w:tblCellMar>
      </w:tblPr>
      <w:tblGrid>
        <w:gridCol w:w="1146"/>
        <w:gridCol w:w="859"/>
        <w:gridCol w:w="1541"/>
        <w:gridCol w:w="3157"/>
        <w:gridCol w:w="756"/>
        <w:gridCol w:w="1323"/>
        <w:gridCol w:w="955"/>
      </w:tblGrid>
      <w:tr w14:paraId="11C8104F">
        <w:tblPrEx>
          <w:tblCellMar>
            <w:top w:w="0" w:type="dxa"/>
            <w:left w:w="0" w:type="dxa"/>
            <w:bottom w:w="0" w:type="dxa"/>
            <w:right w:w="0" w:type="dxa"/>
          </w:tblCellMar>
        </w:tblPrEx>
        <w:trPr>
          <w:trHeight w:val="752" w:hRule="atLeast"/>
        </w:trPr>
        <w:tc>
          <w:tcPr>
            <w:tcW w:w="5000" w:type="pct"/>
            <w:gridSpan w:val="7"/>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81B117">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油气管道智能化系统运维服务考核表</w:t>
            </w:r>
          </w:p>
        </w:tc>
      </w:tr>
      <w:tr w14:paraId="5A432B10">
        <w:tblPrEx>
          <w:tblCellMar>
            <w:top w:w="0" w:type="dxa"/>
            <w:left w:w="0" w:type="dxa"/>
            <w:bottom w:w="0" w:type="dxa"/>
            <w:right w:w="0" w:type="dxa"/>
          </w:tblCellMar>
        </w:tblPrEx>
        <w:trPr>
          <w:trHeight w:val="318" w:hRule="atLeast"/>
        </w:trPr>
        <w:tc>
          <w:tcPr>
            <w:tcW w:w="588"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A68387">
            <w:pPr>
              <w:jc w:val="center"/>
              <w:rPr>
                <w:rFonts w:ascii="仿宋" w:hAnsi="仿宋" w:eastAsia="仿宋" w:cs="仿宋"/>
                <w:b/>
                <w:color w:val="auto"/>
                <w:kern w:val="2"/>
                <w:sz w:val="24"/>
                <w:szCs w:val="24"/>
                <w:highlight w:val="none"/>
              </w:rPr>
            </w:pPr>
          </w:p>
        </w:tc>
        <w:tc>
          <w:tcPr>
            <w:tcW w:w="441"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21B209">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序号</w:t>
            </w:r>
          </w:p>
        </w:tc>
        <w:tc>
          <w:tcPr>
            <w:tcW w:w="791"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F08758">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分类</w:t>
            </w:r>
          </w:p>
        </w:tc>
        <w:tc>
          <w:tcPr>
            <w:tcW w:w="1621"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5F9897">
            <w:pPr>
              <w:widowControl/>
              <w:jc w:val="center"/>
              <w:textAlignment w:val="center"/>
              <w:rPr>
                <w:rFonts w:ascii="仿宋" w:hAnsi="仿宋" w:eastAsia="仿宋" w:cs="仿宋"/>
                <w:b/>
                <w:color w:val="auto"/>
                <w:kern w:val="2"/>
                <w:sz w:val="24"/>
                <w:szCs w:val="24"/>
                <w:highlight w:val="none"/>
              </w:rPr>
            </w:pPr>
            <w:r>
              <w:rPr>
                <w:rStyle w:val="220"/>
                <w:rFonts w:hint="default" w:ascii="仿宋" w:hAnsi="仿宋" w:eastAsia="仿宋" w:cs="仿宋"/>
                <w:b/>
                <w:bCs/>
                <w:color w:val="auto"/>
                <w:kern w:val="2"/>
                <w:sz w:val="24"/>
                <w:szCs w:val="24"/>
                <w:highlight w:val="none"/>
                <w:lang w:bidi="ar"/>
              </w:rPr>
              <w:t>指标项</w:t>
            </w:r>
          </w:p>
        </w:tc>
        <w:tc>
          <w:tcPr>
            <w:tcW w:w="388"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4956A4">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分值</w:t>
            </w:r>
          </w:p>
        </w:tc>
        <w:tc>
          <w:tcPr>
            <w:tcW w:w="679"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4ACAD3">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客户评分</w:t>
            </w:r>
          </w:p>
        </w:tc>
        <w:tc>
          <w:tcPr>
            <w:tcW w:w="490"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932445">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备注</w:t>
            </w:r>
          </w:p>
        </w:tc>
      </w:tr>
      <w:tr w14:paraId="3752BC02">
        <w:tblPrEx>
          <w:tblCellMar>
            <w:top w:w="0" w:type="dxa"/>
            <w:left w:w="0" w:type="dxa"/>
            <w:bottom w:w="0" w:type="dxa"/>
            <w:right w:w="0" w:type="dxa"/>
          </w:tblCellMar>
        </w:tblPrEx>
        <w:trPr>
          <w:trHeight w:val="348" w:hRule="atLeast"/>
        </w:trPr>
        <w:tc>
          <w:tcPr>
            <w:tcW w:w="588"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AEC4B0">
            <w:pPr>
              <w:jc w:val="center"/>
              <w:rPr>
                <w:rFonts w:ascii="仿宋" w:hAnsi="仿宋" w:eastAsia="仿宋" w:cs="仿宋"/>
                <w:b/>
                <w:color w:val="auto"/>
                <w:kern w:val="2"/>
                <w:sz w:val="24"/>
                <w:szCs w:val="24"/>
                <w:highlight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4DF474">
            <w:pPr>
              <w:jc w:val="center"/>
              <w:rPr>
                <w:rFonts w:ascii="仿宋" w:hAnsi="仿宋" w:eastAsia="仿宋" w:cs="仿宋"/>
                <w:b/>
                <w:color w:val="auto"/>
                <w:kern w:val="2"/>
                <w:sz w:val="24"/>
                <w:szCs w:val="24"/>
                <w:highlight w:val="none"/>
              </w:rPr>
            </w:pPr>
          </w:p>
        </w:tc>
        <w:tc>
          <w:tcPr>
            <w:tcW w:w="791"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2C7DAB">
            <w:pPr>
              <w:jc w:val="center"/>
              <w:rPr>
                <w:rFonts w:ascii="仿宋" w:hAnsi="仿宋" w:eastAsia="仿宋" w:cs="仿宋"/>
                <w:b/>
                <w:color w:val="auto"/>
                <w:kern w:val="2"/>
                <w:sz w:val="24"/>
                <w:szCs w:val="24"/>
                <w:highlight w:val="none"/>
              </w:rPr>
            </w:pPr>
          </w:p>
        </w:tc>
        <w:tc>
          <w:tcPr>
            <w:tcW w:w="1621"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BA82EA">
            <w:pPr>
              <w:jc w:val="center"/>
              <w:rPr>
                <w:rFonts w:ascii="仿宋" w:hAnsi="仿宋" w:eastAsia="仿宋" w:cs="仿宋"/>
                <w:b/>
                <w:color w:val="auto"/>
                <w:kern w:val="2"/>
                <w:sz w:val="24"/>
                <w:szCs w:val="24"/>
                <w:highlight w:val="none"/>
              </w:rPr>
            </w:pPr>
          </w:p>
        </w:tc>
        <w:tc>
          <w:tcPr>
            <w:tcW w:w="388"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2E7EA3">
            <w:pPr>
              <w:jc w:val="center"/>
              <w:rPr>
                <w:rFonts w:ascii="仿宋" w:hAnsi="仿宋" w:eastAsia="仿宋" w:cs="仿宋"/>
                <w:b/>
                <w:color w:val="auto"/>
                <w:kern w:val="2"/>
                <w:sz w:val="24"/>
                <w:szCs w:val="24"/>
                <w:highlight w:val="none"/>
              </w:rPr>
            </w:pPr>
          </w:p>
        </w:tc>
        <w:tc>
          <w:tcPr>
            <w:tcW w:w="67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866F69">
            <w:pPr>
              <w:jc w:val="center"/>
              <w:rPr>
                <w:rFonts w:ascii="仿宋" w:hAnsi="仿宋" w:eastAsia="仿宋" w:cs="仿宋"/>
                <w:b/>
                <w:color w:val="auto"/>
                <w:kern w:val="2"/>
                <w:sz w:val="24"/>
                <w:szCs w:val="24"/>
                <w:highlight w:val="none"/>
              </w:rPr>
            </w:pPr>
          </w:p>
        </w:tc>
        <w:tc>
          <w:tcPr>
            <w:tcW w:w="490"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255157">
            <w:pPr>
              <w:jc w:val="center"/>
              <w:rPr>
                <w:rFonts w:ascii="仿宋" w:hAnsi="仿宋" w:eastAsia="仿宋" w:cs="仿宋"/>
                <w:b/>
                <w:color w:val="auto"/>
                <w:kern w:val="2"/>
                <w:sz w:val="24"/>
                <w:szCs w:val="24"/>
                <w:highlight w:val="none"/>
              </w:rPr>
            </w:pPr>
          </w:p>
        </w:tc>
      </w:tr>
      <w:tr w14:paraId="67DE91B4">
        <w:tblPrEx>
          <w:tblCellMar>
            <w:top w:w="0" w:type="dxa"/>
            <w:left w:w="0" w:type="dxa"/>
            <w:bottom w:w="0" w:type="dxa"/>
            <w:right w:w="0" w:type="dxa"/>
          </w:tblCellMar>
        </w:tblPrEx>
        <w:trPr>
          <w:trHeight w:val="348" w:hRule="atLeast"/>
        </w:trPr>
        <w:tc>
          <w:tcPr>
            <w:tcW w:w="588"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5BD42A">
            <w:pPr>
              <w:jc w:val="center"/>
              <w:rPr>
                <w:rFonts w:ascii="仿宋" w:hAnsi="仿宋" w:eastAsia="仿宋" w:cs="仿宋"/>
                <w:b/>
                <w:color w:val="auto"/>
                <w:kern w:val="2"/>
                <w:sz w:val="24"/>
                <w:szCs w:val="24"/>
                <w:highlight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29E238">
            <w:pPr>
              <w:jc w:val="center"/>
              <w:rPr>
                <w:rFonts w:ascii="仿宋" w:hAnsi="仿宋" w:eastAsia="仿宋" w:cs="仿宋"/>
                <w:b/>
                <w:color w:val="auto"/>
                <w:kern w:val="2"/>
                <w:sz w:val="24"/>
                <w:szCs w:val="24"/>
                <w:highlight w:val="none"/>
              </w:rPr>
            </w:pPr>
          </w:p>
        </w:tc>
        <w:tc>
          <w:tcPr>
            <w:tcW w:w="791"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67B7C7">
            <w:pPr>
              <w:jc w:val="center"/>
              <w:rPr>
                <w:rFonts w:ascii="仿宋" w:hAnsi="仿宋" w:eastAsia="仿宋" w:cs="仿宋"/>
                <w:b/>
                <w:color w:val="auto"/>
                <w:kern w:val="2"/>
                <w:sz w:val="24"/>
                <w:szCs w:val="24"/>
                <w:highlight w:val="none"/>
              </w:rPr>
            </w:pPr>
          </w:p>
        </w:tc>
        <w:tc>
          <w:tcPr>
            <w:tcW w:w="1621"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11100C">
            <w:pPr>
              <w:jc w:val="center"/>
              <w:rPr>
                <w:rFonts w:ascii="仿宋" w:hAnsi="仿宋" w:eastAsia="仿宋" w:cs="仿宋"/>
                <w:b/>
                <w:color w:val="auto"/>
                <w:kern w:val="2"/>
                <w:sz w:val="24"/>
                <w:szCs w:val="24"/>
                <w:highlight w:val="none"/>
              </w:rPr>
            </w:pPr>
          </w:p>
        </w:tc>
        <w:tc>
          <w:tcPr>
            <w:tcW w:w="388"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D255EC">
            <w:pPr>
              <w:jc w:val="center"/>
              <w:rPr>
                <w:rFonts w:ascii="仿宋" w:hAnsi="仿宋" w:eastAsia="仿宋" w:cs="仿宋"/>
                <w:b/>
                <w:color w:val="auto"/>
                <w:kern w:val="2"/>
                <w:sz w:val="24"/>
                <w:szCs w:val="24"/>
                <w:highlight w:val="none"/>
              </w:rPr>
            </w:pPr>
          </w:p>
        </w:tc>
        <w:tc>
          <w:tcPr>
            <w:tcW w:w="67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72A26E">
            <w:pPr>
              <w:jc w:val="center"/>
              <w:rPr>
                <w:rFonts w:ascii="仿宋" w:hAnsi="仿宋" w:eastAsia="仿宋" w:cs="仿宋"/>
                <w:b/>
                <w:color w:val="auto"/>
                <w:kern w:val="2"/>
                <w:sz w:val="24"/>
                <w:szCs w:val="24"/>
                <w:highlight w:val="none"/>
              </w:rPr>
            </w:pPr>
          </w:p>
        </w:tc>
        <w:tc>
          <w:tcPr>
            <w:tcW w:w="490"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1D4F33">
            <w:pPr>
              <w:jc w:val="center"/>
              <w:rPr>
                <w:rFonts w:ascii="仿宋" w:hAnsi="仿宋" w:eastAsia="仿宋" w:cs="仿宋"/>
                <w:b/>
                <w:color w:val="auto"/>
                <w:kern w:val="2"/>
                <w:sz w:val="24"/>
                <w:szCs w:val="24"/>
                <w:highlight w:val="none"/>
              </w:rPr>
            </w:pPr>
          </w:p>
        </w:tc>
      </w:tr>
      <w:tr w14:paraId="34A5032B">
        <w:tblPrEx>
          <w:tblCellMar>
            <w:top w:w="0" w:type="dxa"/>
            <w:left w:w="0" w:type="dxa"/>
            <w:bottom w:w="0" w:type="dxa"/>
            <w:right w:w="0" w:type="dxa"/>
          </w:tblCellMar>
        </w:tblPrEx>
        <w:trPr>
          <w:trHeight w:val="740" w:hRule="atLeast"/>
        </w:trPr>
        <w:tc>
          <w:tcPr>
            <w:tcW w:w="588"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490C33">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关键指标(70分)</w:t>
            </w:r>
          </w:p>
        </w:tc>
        <w:tc>
          <w:tcPr>
            <w:tcW w:w="44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B2335D">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1</w:t>
            </w:r>
          </w:p>
        </w:tc>
        <w:tc>
          <w:tcPr>
            <w:tcW w:w="7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8D0CFB">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巡检工</w:t>
            </w:r>
            <w:r>
              <w:rPr>
                <w:rFonts w:ascii="仿宋" w:hAnsi="仿宋" w:eastAsia="仿宋" w:cs="仿宋"/>
                <w:b/>
                <w:color w:val="auto"/>
                <w:kern w:val="0"/>
                <w:sz w:val="24"/>
                <w:szCs w:val="24"/>
                <w:highlight w:val="none"/>
                <w:lang w:bidi="ar"/>
              </w:rPr>
              <w:t>作</w:t>
            </w:r>
          </w:p>
        </w:tc>
        <w:tc>
          <w:tcPr>
            <w:tcW w:w="162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284E8E">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日常巡检频率与质量</w:t>
            </w:r>
          </w:p>
        </w:tc>
        <w:tc>
          <w:tcPr>
            <w:tcW w:w="38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CFDDB1">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20</w:t>
            </w:r>
          </w:p>
        </w:tc>
        <w:tc>
          <w:tcPr>
            <w:tcW w:w="67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C04E38">
            <w:pPr>
              <w:jc w:val="center"/>
              <w:rPr>
                <w:rFonts w:ascii="仿宋" w:hAnsi="仿宋" w:eastAsia="仿宋" w:cs="仿宋"/>
                <w:b/>
                <w:color w:val="auto"/>
                <w:kern w:val="2"/>
                <w:sz w:val="24"/>
                <w:szCs w:val="24"/>
                <w:highlight w:val="none"/>
              </w:rPr>
            </w:pPr>
          </w:p>
        </w:tc>
        <w:tc>
          <w:tcPr>
            <w:tcW w:w="4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7EE9D9">
            <w:pPr>
              <w:jc w:val="center"/>
              <w:rPr>
                <w:rFonts w:ascii="仿宋" w:hAnsi="仿宋" w:eastAsia="仿宋" w:cs="仿宋"/>
                <w:b/>
                <w:color w:val="auto"/>
                <w:kern w:val="2"/>
                <w:sz w:val="24"/>
                <w:szCs w:val="24"/>
                <w:highlight w:val="none"/>
              </w:rPr>
            </w:pPr>
          </w:p>
        </w:tc>
      </w:tr>
      <w:tr w14:paraId="22586C72">
        <w:tblPrEx>
          <w:tblCellMar>
            <w:top w:w="0" w:type="dxa"/>
            <w:left w:w="0" w:type="dxa"/>
            <w:bottom w:w="0" w:type="dxa"/>
            <w:right w:w="0" w:type="dxa"/>
          </w:tblCellMar>
        </w:tblPrEx>
        <w:trPr>
          <w:trHeight w:val="1040" w:hRule="atLeast"/>
        </w:trPr>
        <w:tc>
          <w:tcPr>
            <w:tcW w:w="588"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D5CA21">
            <w:pPr>
              <w:jc w:val="center"/>
              <w:rPr>
                <w:rFonts w:ascii="仿宋" w:hAnsi="仿宋" w:eastAsia="仿宋" w:cs="仿宋"/>
                <w:b/>
                <w:color w:val="auto"/>
                <w:kern w:val="2"/>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FE0D5F">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2</w:t>
            </w:r>
          </w:p>
        </w:tc>
        <w:tc>
          <w:tcPr>
            <w:tcW w:w="7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4C114C">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维保工作</w:t>
            </w:r>
          </w:p>
        </w:tc>
        <w:tc>
          <w:tcPr>
            <w:tcW w:w="162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4B0268">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信息系统保障用户正常运行</w:t>
            </w:r>
          </w:p>
        </w:tc>
        <w:tc>
          <w:tcPr>
            <w:tcW w:w="38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376FD0">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20</w:t>
            </w:r>
          </w:p>
        </w:tc>
        <w:tc>
          <w:tcPr>
            <w:tcW w:w="67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5D2DD2">
            <w:pPr>
              <w:jc w:val="center"/>
              <w:rPr>
                <w:rFonts w:ascii="仿宋" w:hAnsi="仿宋" w:eastAsia="仿宋" w:cs="仿宋"/>
                <w:b/>
                <w:color w:val="auto"/>
                <w:kern w:val="2"/>
                <w:sz w:val="24"/>
                <w:szCs w:val="24"/>
                <w:highlight w:val="none"/>
              </w:rPr>
            </w:pPr>
          </w:p>
        </w:tc>
        <w:tc>
          <w:tcPr>
            <w:tcW w:w="4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6E529B">
            <w:pPr>
              <w:jc w:val="center"/>
              <w:rPr>
                <w:rFonts w:ascii="仿宋" w:hAnsi="仿宋" w:eastAsia="仿宋" w:cs="仿宋"/>
                <w:b/>
                <w:color w:val="auto"/>
                <w:kern w:val="2"/>
                <w:sz w:val="24"/>
                <w:szCs w:val="24"/>
                <w:highlight w:val="none"/>
              </w:rPr>
            </w:pPr>
          </w:p>
        </w:tc>
      </w:tr>
      <w:tr w14:paraId="39BE8674">
        <w:tblPrEx>
          <w:tblCellMar>
            <w:top w:w="0" w:type="dxa"/>
            <w:left w:w="0" w:type="dxa"/>
            <w:bottom w:w="0" w:type="dxa"/>
            <w:right w:w="0" w:type="dxa"/>
          </w:tblCellMar>
        </w:tblPrEx>
        <w:trPr>
          <w:trHeight w:val="702" w:hRule="atLeast"/>
        </w:trPr>
        <w:tc>
          <w:tcPr>
            <w:tcW w:w="588"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3C20BB">
            <w:pPr>
              <w:jc w:val="center"/>
              <w:rPr>
                <w:rFonts w:ascii="仿宋" w:hAnsi="仿宋" w:eastAsia="仿宋" w:cs="仿宋"/>
                <w:b/>
                <w:color w:val="auto"/>
                <w:kern w:val="2"/>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DE27FB">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3</w:t>
            </w:r>
          </w:p>
        </w:tc>
        <w:tc>
          <w:tcPr>
            <w:tcW w:w="7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1F04AB">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故障处理</w:t>
            </w:r>
          </w:p>
        </w:tc>
        <w:tc>
          <w:tcPr>
            <w:tcW w:w="162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D91B6D">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故障处理效率</w:t>
            </w:r>
          </w:p>
        </w:tc>
        <w:tc>
          <w:tcPr>
            <w:tcW w:w="38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9085F0">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10</w:t>
            </w:r>
          </w:p>
        </w:tc>
        <w:tc>
          <w:tcPr>
            <w:tcW w:w="67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D67EEE">
            <w:pPr>
              <w:jc w:val="center"/>
              <w:rPr>
                <w:rFonts w:ascii="仿宋" w:hAnsi="仿宋" w:eastAsia="仿宋" w:cs="仿宋"/>
                <w:b/>
                <w:color w:val="auto"/>
                <w:kern w:val="2"/>
                <w:sz w:val="24"/>
                <w:szCs w:val="24"/>
                <w:highlight w:val="none"/>
              </w:rPr>
            </w:pPr>
          </w:p>
        </w:tc>
        <w:tc>
          <w:tcPr>
            <w:tcW w:w="4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A5460B">
            <w:pPr>
              <w:jc w:val="center"/>
              <w:rPr>
                <w:rFonts w:ascii="仿宋" w:hAnsi="仿宋" w:eastAsia="仿宋" w:cs="仿宋"/>
                <w:b/>
                <w:color w:val="auto"/>
                <w:kern w:val="2"/>
                <w:sz w:val="24"/>
                <w:szCs w:val="24"/>
                <w:highlight w:val="none"/>
              </w:rPr>
            </w:pPr>
          </w:p>
        </w:tc>
      </w:tr>
      <w:tr w14:paraId="2CFD3CD8">
        <w:tblPrEx>
          <w:tblCellMar>
            <w:top w:w="0" w:type="dxa"/>
            <w:left w:w="0" w:type="dxa"/>
            <w:bottom w:w="0" w:type="dxa"/>
            <w:right w:w="0" w:type="dxa"/>
          </w:tblCellMar>
        </w:tblPrEx>
        <w:trPr>
          <w:trHeight w:val="740" w:hRule="atLeast"/>
        </w:trPr>
        <w:tc>
          <w:tcPr>
            <w:tcW w:w="588"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422CBF">
            <w:pPr>
              <w:jc w:val="center"/>
              <w:rPr>
                <w:rFonts w:ascii="仿宋" w:hAnsi="仿宋" w:eastAsia="仿宋" w:cs="仿宋"/>
                <w:b/>
                <w:color w:val="auto"/>
                <w:kern w:val="2"/>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4E220C">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4</w:t>
            </w:r>
          </w:p>
        </w:tc>
        <w:tc>
          <w:tcPr>
            <w:tcW w:w="7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DBE097">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文档工作</w:t>
            </w:r>
          </w:p>
        </w:tc>
        <w:tc>
          <w:tcPr>
            <w:tcW w:w="162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A97827">
            <w:pPr>
              <w:widowControl/>
              <w:jc w:val="center"/>
              <w:textAlignment w:val="center"/>
              <w:rPr>
                <w:rFonts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运维记录表单完善程度</w:t>
            </w:r>
          </w:p>
        </w:tc>
        <w:tc>
          <w:tcPr>
            <w:tcW w:w="38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B5EBAE">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10</w:t>
            </w:r>
          </w:p>
        </w:tc>
        <w:tc>
          <w:tcPr>
            <w:tcW w:w="67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24A4CF">
            <w:pPr>
              <w:jc w:val="center"/>
              <w:rPr>
                <w:rFonts w:ascii="仿宋" w:hAnsi="仿宋" w:eastAsia="仿宋" w:cs="仿宋"/>
                <w:b/>
                <w:color w:val="auto"/>
                <w:kern w:val="2"/>
                <w:sz w:val="24"/>
                <w:szCs w:val="24"/>
                <w:highlight w:val="none"/>
              </w:rPr>
            </w:pPr>
          </w:p>
        </w:tc>
        <w:tc>
          <w:tcPr>
            <w:tcW w:w="4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2D07A4">
            <w:pPr>
              <w:jc w:val="center"/>
              <w:rPr>
                <w:rFonts w:ascii="仿宋" w:hAnsi="仿宋" w:eastAsia="仿宋" w:cs="仿宋"/>
                <w:b/>
                <w:color w:val="auto"/>
                <w:kern w:val="2"/>
                <w:sz w:val="24"/>
                <w:szCs w:val="24"/>
                <w:highlight w:val="none"/>
              </w:rPr>
            </w:pPr>
          </w:p>
        </w:tc>
      </w:tr>
      <w:tr w14:paraId="69FA3C20">
        <w:tblPrEx>
          <w:tblCellMar>
            <w:top w:w="0" w:type="dxa"/>
            <w:left w:w="0" w:type="dxa"/>
            <w:bottom w:w="0" w:type="dxa"/>
            <w:right w:w="0" w:type="dxa"/>
          </w:tblCellMar>
        </w:tblPrEx>
        <w:trPr>
          <w:trHeight w:val="794" w:hRule="atLeast"/>
        </w:trPr>
        <w:tc>
          <w:tcPr>
            <w:tcW w:w="588"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35BB6C">
            <w:pPr>
              <w:jc w:val="center"/>
              <w:rPr>
                <w:rFonts w:ascii="仿宋" w:hAnsi="仿宋" w:eastAsia="仿宋" w:cs="仿宋"/>
                <w:b/>
                <w:color w:val="auto"/>
                <w:kern w:val="2"/>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457316">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5</w:t>
            </w:r>
          </w:p>
        </w:tc>
        <w:tc>
          <w:tcPr>
            <w:tcW w:w="79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B54719">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技术培训</w:t>
            </w:r>
          </w:p>
        </w:tc>
        <w:tc>
          <w:tcPr>
            <w:tcW w:w="162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713326">
            <w:pPr>
              <w:widowControl/>
              <w:jc w:val="center"/>
              <w:textAlignment w:val="center"/>
              <w:rPr>
                <w:rFonts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技术培训客户满意度</w:t>
            </w:r>
          </w:p>
        </w:tc>
        <w:tc>
          <w:tcPr>
            <w:tcW w:w="38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3DC3B3">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10</w:t>
            </w:r>
          </w:p>
        </w:tc>
        <w:tc>
          <w:tcPr>
            <w:tcW w:w="67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65C651">
            <w:pPr>
              <w:jc w:val="center"/>
              <w:rPr>
                <w:rFonts w:ascii="仿宋" w:hAnsi="仿宋" w:eastAsia="仿宋" w:cs="仿宋"/>
                <w:b/>
                <w:color w:val="auto"/>
                <w:kern w:val="2"/>
                <w:sz w:val="24"/>
                <w:szCs w:val="24"/>
                <w:highlight w:val="none"/>
              </w:rPr>
            </w:pPr>
          </w:p>
        </w:tc>
        <w:tc>
          <w:tcPr>
            <w:tcW w:w="49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589B54">
            <w:pPr>
              <w:jc w:val="center"/>
              <w:rPr>
                <w:rFonts w:ascii="仿宋" w:hAnsi="仿宋" w:eastAsia="仿宋" w:cs="仿宋"/>
                <w:b/>
                <w:color w:val="auto"/>
                <w:kern w:val="2"/>
                <w:sz w:val="24"/>
                <w:szCs w:val="24"/>
                <w:highlight w:val="none"/>
              </w:rPr>
            </w:pPr>
          </w:p>
        </w:tc>
      </w:tr>
      <w:tr w14:paraId="2607685A">
        <w:tblPrEx>
          <w:tblCellMar>
            <w:top w:w="0" w:type="dxa"/>
            <w:left w:w="0" w:type="dxa"/>
            <w:bottom w:w="0" w:type="dxa"/>
            <w:right w:w="0" w:type="dxa"/>
          </w:tblCellMar>
        </w:tblPrEx>
        <w:trPr>
          <w:trHeight w:val="690" w:hRule="atLeast"/>
        </w:trPr>
        <w:tc>
          <w:tcPr>
            <w:tcW w:w="588"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31FE94">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其他指标 (</w:t>
            </w:r>
            <w:r>
              <w:rPr>
                <w:rStyle w:val="221"/>
                <w:rFonts w:hint="default" w:ascii="仿宋" w:hAnsi="仿宋" w:eastAsia="仿宋" w:cs="仿宋"/>
                <w:color w:val="auto"/>
                <w:kern w:val="2"/>
                <w:highlight w:val="none"/>
                <w:lang w:bidi="ar"/>
              </w:rPr>
              <w:t>30分)</w:t>
            </w:r>
          </w:p>
        </w:tc>
        <w:tc>
          <w:tcPr>
            <w:tcW w:w="441"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3B6CA8">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6</w:t>
            </w:r>
          </w:p>
        </w:tc>
        <w:tc>
          <w:tcPr>
            <w:tcW w:w="791"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A4B4A8">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用户满意度</w:t>
            </w:r>
          </w:p>
        </w:tc>
        <w:tc>
          <w:tcPr>
            <w:tcW w:w="162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D3FF32">
            <w:pPr>
              <w:widowControl/>
              <w:jc w:val="center"/>
              <w:textAlignment w:val="center"/>
              <w:rPr>
                <w:rFonts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有投诉扣每次扣3</w:t>
            </w:r>
            <w:r>
              <w:rPr>
                <w:rFonts w:ascii="仿宋" w:hAnsi="仿宋" w:eastAsia="仿宋" w:cs="仿宋"/>
                <w:b/>
                <w:color w:val="auto"/>
                <w:kern w:val="0"/>
                <w:sz w:val="24"/>
                <w:szCs w:val="24"/>
                <w:highlight w:val="none"/>
                <w:lang w:bidi="ar"/>
              </w:rPr>
              <w:t>分</w:t>
            </w:r>
          </w:p>
        </w:tc>
        <w:tc>
          <w:tcPr>
            <w:tcW w:w="388"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8071F7">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30</w:t>
            </w:r>
          </w:p>
        </w:tc>
        <w:tc>
          <w:tcPr>
            <w:tcW w:w="679" w:type="pct"/>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400FD3">
            <w:pPr>
              <w:jc w:val="center"/>
              <w:rPr>
                <w:rFonts w:ascii="仿宋" w:hAnsi="仿宋" w:eastAsia="仿宋" w:cs="仿宋"/>
                <w:b/>
                <w:color w:val="auto"/>
                <w:kern w:val="2"/>
                <w:sz w:val="24"/>
                <w:szCs w:val="24"/>
                <w:highlight w:val="none"/>
              </w:rPr>
            </w:pPr>
          </w:p>
        </w:tc>
        <w:tc>
          <w:tcPr>
            <w:tcW w:w="490" w:type="pct"/>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E5DF47">
            <w:pPr>
              <w:jc w:val="center"/>
              <w:rPr>
                <w:rFonts w:ascii="仿宋" w:hAnsi="仿宋" w:eastAsia="仿宋" w:cs="仿宋"/>
                <w:b/>
                <w:color w:val="auto"/>
                <w:kern w:val="2"/>
                <w:sz w:val="24"/>
                <w:szCs w:val="24"/>
                <w:highlight w:val="none"/>
              </w:rPr>
            </w:pPr>
          </w:p>
        </w:tc>
      </w:tr>
      <w:tr w14:paraId="50302F3B">
        <w:tblPrEx>
          <w:tblCellMar>
            <w:top w:w="0" w:type="dxa"/>
            <w:left w:w="0" w:type="dxa"/>
            <w:bottom w:w="0" w:type="dxa"/>
            <w:right w:w="0" w:type="dxa"/>
          </w:tblCellMar>
        </w:tblPrEx>
        <w:trPr>
          <w:trHeight w:val="420" w:hRule="atLeast"/>
        </w:trPr>
        <w:tc>
          <w:tcPr>
            <w:tcW w:w="588"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7BE546">
            <w:pPr>
              <w:jc w:val="center"/>
              <w:rPr>
                <w:rFonts w:ascii="仿宋" w:hAnsi="仿宋" w:eastAsia="仿宋" w:cs="仿宋"/>
                <w:b/>
                <w:color w:val="auto"/>
                <w:kern w:val="2"/>
                <w:sz w:val="24"/>
                <w:szCs w:val="24"/>
                <w:highlight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0111E0">
            <w:pPr>
              <w:jc w:val="center"/>
              <w:rPr>
                <w:rFonts w:ascii="仿宋" w:hAnsi="仿宋" w:eastAsia="仿宋" w:cs="仿宋"/>
                <w:b/>
                <w:color w:val="auto"/>
                <w:kern w:val="2"/>
                <w:sz w:val="24"/>
                <w:szCs w:val="24"/>
                <w:highlight w:val="none"/>
              </w:rPr>
            </w:pPr>
          </w:p>
        </w:tc>
        <w:tc>
          <w:tcPr>
            <w:tcW w:w="791"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3FB1B1">
            <w:pPr>
              <w:jc w:val="center"/>
              <w:rPr>
                <w:rFonts w:ascii="仿宋" w:hAnsi="仿宋" w:eastAsia="仿宋" w:cs="仿宋"/>
                <w:b/>
                <w:color w:val="auto"/>
                <w:kern w:val="2"/>
                <w:sz w:val="24"/>
                <w:szCs w:val="24"/>
                <w:highlight w:val="none"/>
              </w:rPr>
            </w:pPr>
          </w:p>
        </w:tc>
        <w:tc>
          <w:tcPr>
            <w:tcW w:w="162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F7539A">
            <w:pPr>
              <w:widowControl/>
              <w:jc w:val="center"/>
              <w:textAlignment w:val="center"/>
              <w:rPr>
                <w:rFonts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优:不扣分</w:t>
            </w:r>
          </w:p>
        </w:tc>
        <w:tc>
          <w:tcPr>
            <w:tcW w:w="388"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DFCF6F">
            <w:pPr>
              <w:jc w:val="center"/>
              <w:rPr>
                <w:rFonts w:ascii="仿宋" w:hAnsi="仿宋" w:eastAsia="仿宋" w:cs="仿宋"/>
                <w:b/>
                <w:color w:val="auto"/>
                <w:kern w:val="2"/>
                <w:sz w:val="24"/>
                <w:szCs w:val="24"/>
                <w:highlight w:val="none"/>
              </w:rPr>
            </w:pPr>
          </w:p>
        </w:tc>
        <w:tc>
          <w:tcPr>
            <w:tcW w:w="67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8D597D">
            <w:pPr>
              <w:jc w:val="center"/>
              <w:rPr>
                <w:rFonts w:ascii="仿宋" w:hAnsi="仿宋" w:eastAsia="仿宋" w:cs="仿宋"/>
                <w:b/>
                <w:color w:val="auto"/>
                <w:kern w:val="2"/>
                <w:sz w:val="24"/>
                <w:szCs w:val="24"/>
                <w:highlight w:val="none"/>
              </w:rPr>
            </w:pPr>
          </w:p>
        </w:tc>
        <w:tc>
          <w:tcPr>
            <w:tcW w:w="490"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C0C028">
            <w:pPr>
              <w:jc w:val="center"/>
              <w:rPr>
                <w:rFonts w:ascii="仿宋" w:hAnsi="仿宋" w:eastAsia="仿宋" w:cs="仿宋"/>
                <w:b/>
                <w:color w:val="auto"/>
                <w:kern w:val="2"/>
                <w:sz w:val="24"/>
                <w:szCs w:val="24"/>
                <w:highlight w:val="none"/>
              </w:rPr>
            </w:pPr>
          </w:p>
        </w:tc>
      </w:tr>
      <w:tr w14:paraId="7806DA4A">
        <w:tblPrEx>
          <w:tblCellMar>
            <w:top w:w="0" w:type="dxa"/>
            <w:left w:w="0" w:type="dxa"/>
            <w:bottom w:w="0" w:type="dxa"/>
            <w:right w:w="0" w:type="dxa"/>
          </w:tblCellMar>
        </w:tblPrEx>
        <w:trPr>
          <w:trHeight w:val="420" w:hRule="atLeast"/>
        </w:trPr>
        <w:tc>
          <w:tcPr>
            <w:tcW w:w="588"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04FA0C">
            <w:pPr>
              <w:jc w:val="center"/>
              <w:rPr>
                <w:rFonts w:ascii="仿宋" w:hAnsi="仿宋" w:eastAsia="仿宋" w:cs="仿宋"/>
                <w:b/>
                <w:color w:val="auto"/>
                <w:kern w:val="2"/>
                <w:sz w:val="24"/>
                <w:szCs w:val="24"/>
                <w:highlight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954D33">
            <w:pPr>
              <w:jc w:val="center"/>
              <w:rPr>
                <w:rFonts w:ascii="仿宋" w:hAnsi="仿宋" w:eastAsia="仿宋" w:cs="仿宋"/>
                <w:b/>
                <w:color w:val="auto"/>
                <w:kern w:val="2"/>
                <w:sz w:val="24"/>
                <w:szCs w:val="24"/>
                <w:highlight w:val="none"/>
              </w:rPr>
            </w:pPr>
          </w:p>
        </w:tc>
        <w:tc>
          <w:tcPr>
            <w:tcW w:w="791"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1BB0A3">
            <w:pPr>
              <w:jc w:val="center"/>
              <w:rPr>
                <w:rFonts w:ascii="仿宋" w:hAnsi="仿宋" w:eastAsia="仿宋" w:cs="仿宋"/>
                <w:b/>
                <w:color w:val="auto"/>
                <w:kern w:val="2"/>
                <w:sz w:val="24"/>
                <w:szCs w:val="24"/>
                <w:highlight w:val="none"/>
              </w:rPr>
            </w:pPr>
          </w:p>
        </w:tc>
        <w:tc>
          <w:tcPr>
            <w:tcW w:w="162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EF5375">
            <w:pPr>
              <w:widowControl/>
              <w:jc w:val="center"/>
              <w:textAlignment w:val="center"/>
              <w:rPr>
                <w:rFonts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良：扣5分</w:t>
            </w:r>
          </w:p>
        </w:tc>
        <w:tc>
          <w:tcPr>
            <w:tcW w:w="388"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2002ED">
            <w:pPr>
              <w:jc w:val="center"/>
              <w:rPr>
                <w:rFonts w:ascii="仿宋" w:hAnsi="仿宋" w:eastAsia="仿宋" w:cs="仿宋"/>
                <w:b/>
                <w:color w:val="auto"/>
                <w:kern w:val="2"/>
                <w:sz w:val="24"/>
                <w:szCs w:val="24"/>
                <w:highlight w:val="none"/>
              </w:rPr>
            </w:pPr>
          </w:p>
        </w:tc>
        <w:tc>
          <w:tcPr>
            <w:tcW w:w="67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BC72D6">
            <w:pPr>
              <w:jc w:val="center"/>
              <w:rPr>
                <w:rFonts w:ascii="仿宋" w:hAnsi="仿宋" w:eastAsia="仿宋" w:cs="仿宋"/>
                <w:b/>
                <w:color w:val="auto"/>
                <w:kern w:val="2"/>
                <w:sz w:val="24"/>
                <w:szCs w:val="24"/>
                <w:highlight w:val="none"/>
              </w:rPr>
            </w:pPr>
          </w:p>
        </w:tc>
        <w:tc>
          <w:tcPr>
            <w:tcW w:w="490"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4BB0B0">
            <w:pPr>
              <w:jc w:val="center"/>
              <w:rPr>
                <w:rFonts w:ascii="仿宋" w:hAnsi="仿宋" w:eastAsia="仿宋" w:cs="仿宋"/>
                <w:b/>
                <w:color w:val="auto"/>
                <w:kern w:val="2"/>
                <w:sz w:val="24"/>
                <w:szCs w:val="24"/>
                <w:highlight w:val="none"/>
              </w:rPr>
            </w:pPr>
          </w:p>
        </w:tc>
      </w:tr>
      <w:tr w14:paraId="339B8A4C">
        <w:tblPrEx>
          <w:tblCellMar>
            <w:top w:w="0" w:type="dxa"/>
            <w:left w:w="0" w:type="dxa"/>
            <w:bottom w:w="0" w:type="dxa"/>
            <w:right w:w="0" w:type="dxa"/>
          </w:tblCellMar>
        </w:tblPrEx>
        <w:trPr>
          <w:trHeight w:val="360" w:hRule="atLeast"/>
        </w:trPr>
        <w:tc>
          <w:tcPr>
            <w:tcW w:w="588"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B878F5">
            <w:pPr>
              <w:jc w:val="center"/>
              <w:rPr>
                <w:rFonts w:ascii="仿宋" w:hAnsi="仿宋" w:eastAsia="仿宋" w:cs="仿宋"/>
                <w:b/>
                <w:color w:val="auto"/>
                <w:kern w:val="2"/>
                <w:sz w:val="24"/>
                <w:szCs w:val="24"/>
                <w:highlight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6710D0">
            <w:pPr>
              <w:jc w:val="center"/>
              <w:rPr>
                <w:rFonts w:ascii="仿宋" w:hAnsi="仿宋" w:eastAsia="仿宋" w:cs="仿宋"/>
                <w:b/>
                <w:color w:val="auto"/>
                <w:kern w:val="2"/>
                <w:sz w:val="24"/>
                <w:szCs w:val="24"/>
                <w:highlight w:val="none"/>
              </w:rPr>
            </w:pPr>
          </w:p>
        </w:tc>
        <w:tc>
          <w:tcPr>
            <w:tcW w:w="791"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E7A788">
            <w:pPr>
              <w:jc w:val="center"/>
              <w:rPr>
                <w:rFonts w:ascii="仿宋" w:hAnsi="仿宋" w:eastAsia="仿宋" w:cs="仿宋"/>
                <w:b/>
                <w:color w:val="auto"/>
                <w:kern w:val="2"/>
                <w:sz w:val="24"/>
                <w:szCs w:val="24"/>
                <w:highlight w:val="none"/>
              </w:rPr>
            </w:pPr>
          </w:p>
        </w:tc>
        <w:tc>
          <w:tcPr>
            <w:tcW w:w="162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7C39CA">
            <w:pPr>
              <w:widowControl/>
              <w:jc w:val="center"/>
              <w:textAlignment w:val="center"/>
              <w:rPr>
                <w:rFonts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一</w:t>
            </w:r>
            <w:r>
              <w:rPr>
                <w:rFonts w:ascii="仿宋" w:hAnsi="仿宋" w:eastAsia="仿宋" w:cs="仿宋"/>
                <w:b/>
                <w:color w:val="auto"/>
                <w:kern w:val="0"/>
                <w:sz w:val="24"/>
                <w:szCs w:val="24"/>
                <w:highlight w:val="none"/>
                <w:lang w:bidi="ar"/>
              </w:rPr>
              <w:t>般：扣10分</w:t>
            </w:r>
          </w:p>
        </w:tc>
        <w:tc>
          <w:tcPr>
            <w:tcW w:w="388"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3B121A">
            <w:pPr>
              <w:jc w:val="center"/>
              <w:rPr>
                <w:rFonts w:ascii="仿宋" w:hAnsi="仿宋" w:eastAsia="仿宋" w:cs="仿宋"/>
                <w:b/>
                <w:color w:val="auto"/>
                <w:kern w:val="2"/>
                <w:sz w:val="24"/>
                <w:szCs w:val="24"/>
                <w:highlight w:val="none"/>
              </w:rPr>
            </w:pPr>
          </w:p>
        </w:tc>
        <w:tc>
          <w:tcPr>
            <w:tcW w:w="67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367709">
            <w:pPr>
              <w:jc w:val="center"/>
              <w:rPr>
                <w:rFonts w:ascii="仿宋" w:hAnsi="仿宋" w:eastAsia="仿宋" w:cs="仿宋"/>
                <w:b/>
                <w:color w:val="auto"/>
                <w:kern w:val="2"/>
                <w:sz w:val="24"/>
                <w:szCs w:val="24"/>
                <w:highlight w:val="none"/>
              </w:rPr>
            </w:pPr>
          </w:p>
        </w:tc>
        <w:tc>
          <w:tcPr>
            <w:tcW w:w="490"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8A731A">
            <w:pPr>
              <w:jc w:val="center"/>
              <w:rPr>
                <w:rFonts w:ascii="仿宋" w:hAnsi="仿宋" w:eastAsia="仿宋" w:cs="仿宋"/>
                <w:b/>
                <w:color w:val="auto"/>
                <w:kern w:val="2"/>
                <w:sz w:val="24"/>
                <w:szCs w:val="24"/>
                <w:highlight w:val="none"/>
              </w:rPr>
            </w:pPr>
          </w:p>
        </w:tc>
      </w:tr>
      <w:tr w14:paraId="11BC660A">
        <w:tblPrEx>
          <w:tblCellMar>
            <w:top w:w="0" w:type="dxa"/>
            <w:left w:w="0" w:type="dxa"/>
            <w:bottom w:w="0" w:type="dxa"/>
            <w:right w:w="0" w:type="dxa"/>
          </w:tblCellMar>
        </w:tblPrEx>
        <w:trPr>
          <w:trHeight w:val="400" w:hRule="atLeast"/>
        </w:trPr>
        <w:tc>
          <w:tcPr>
            <w:tcW w:w="588"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DEB1DB">
            <w:pPr>
              <w:jc w:val="center"/>
              <w:rPr>
                <w:rFonts w:ascii="仿宋" w:hAnsi="仿宋" w:eastAsia="仿宋" w:cs="仿宋"/>
                <w:b/>
                <w:color w:val="auto"/>
                <w:kern w:val="2"/>
                <w:sz w:val="24"/>
                <w:szCs w:val="24"/>
                <w:highlight w:val="none"/>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886B08">
            <w:pPr>
              <w:jc w:val="center"/>
              <w:rPr>
                <w:rFonts w:ascii="仿宋" w:hAnsi="仿宋" w:eastAsia="仿宋" w:cs="仿宋"/>
                <w:b/>
                <w:color w:val="auto"/>
                <w:kern w:val="2"/>
                <w:sz w:val="24"/>
                <w:szCs w:val="24"/>
                <w:highlight w:val="none"/>
              </w:rPr>
            </w:pPr>
          </w:p>
        </w:tc>
        <w:tc>
          <w:tcPr>
            <w:tcW w:w="791"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F4AFEF">
            <w:pPr>
              <w:jc w:val="center"/>
              <w:rPr>
                <w:rFonts w:ascii="仿宋" w:hAnsi="仿宋" w:eastAsia="仿宋" w:cs="仿宋"/>
                <w:b/>
                <w:color w:val="auto"/>
                <w:kern w:val="2"/>
                <w:sz w:val="24"/>
                <w:szCs w:val="24"/>
                <w:highlight w:val="none"/>
              </w:rPr>
            </w:pPr>
          </w:p>
        </w:tc>
        <w:tc>
          <w:tcPr>
            <w:tcW w:w="162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7EE40D">
            <w:pPr>
              <w:widowControl/>
              <w:jc w:val="center"/>
              <w:textAlignment w:val="center"/>
              <w:rPr>
                <w:rFonts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差：扣15分</w:t>
            </w:r>
          </w:p>
        </w:tc>
        <w:tc>
          <w:tcPr>
            <w:tcW w:w="388"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0A7FFB">
            <w:pPr>
              <w:jc w:val="center"/>
              <w:rPr>
                <w:rFonts w:ascii="仿宋" w:hAnsi="仿宋" w:eastAsia="仿宋" w:cs="仿宋"/>
                <w:b/>
                <w:color w:val="auto"/>
                <w:kern w:val="2"/>
                <w:sz w:val="24"/>
                <w:szCs w:val="24"/>
                <w:highlight w:val="none"/>
              </w:rPr>
            </w:pPr>
          </w:p>
        </w:tc>
        <w:tc>
          <w:tcPr>
            <w:tcW w:w="679" w:type="pct"/>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0EF1C7">
            <w:pPr>
              <w:jc w:val="center"/>
              <w:rPr>
                <w:rFonts w:ascii="仿宋" w:hAnsi="仿宋" w:eastAsia="仿宋" w:cs="仿宋"/>
                <w:b/>
                <w:color w:val="auto"/>
                <w:kern w:val="2"/>
                <w:sz w:val="24"/>
                <w:szCs w:val="24"/>
                <w:highlight w:val="none"/>
              </w:rPr>
            </w:pPr>
          </w:p>
        </w:tc>
        <w:tc>
          <w:tcPr>
            <w:tcW w:w="490" w:type="pct"/>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F75D8E">
            <w:pPr>
              <w:jc w:val="center"/>
              <w:rPr>
                <w:rFonts w:ascii="仿宋" w:hAnsi="仿宋" w:eastAsia="仿宋" w:cs="仿宋"/>
                <w:b/>
                <w:color w:val="auto"/>
                <w:kern w:val="2"/>
                <w:sz w:val="24"/>
                <w:szCs w:val="24"/>
                <w:highlight w:val="none"/>
              </w:rPr>
            </w:pPr>
          </w:p>
        </w:tc>
      </w:tr>
      <w:tr w14:paraId="18501B08">
        <w:tblPrEx>
          <w:tblCellMar>
            <w:top w:w="0" w:type="dxa"/>
            <w:left w:w="0" w:type="dxa"/>
            <w:bottom w:w="0" w:type="dxa"/>
            <w:right w:w="0" w:type="dxa"/>
          </w:tblCellMar>
        </w:tblPrEx>
        <w:trPr>
          <w:trHeight w:val="728" w:hRule="atLeast"/>
        </w:trPr>
        <w:tc>
          <w:tcPr>
            <w:tcW w:w="3442" w:type="pct"/>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207C82">
            <w:pPr>
              <w:widowControl/>
              <w:jc w:val="left"/>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申报人：</w:t>
            </w:r>
          </w:p>
        </w:tc>
        <w:tc>
          <w:tcPr>
            <w:tcW w:w="1557" w:type="pct"/>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FB4E8E">
            <w:pPr>
              <w:widowControl/>
              <w:jc w:val="left"/>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业主负责人：</w:t>
            </w:r>
          </w:p>
        </w:tc>
      </w:tr>
      <w:tr w14:paraId="452FF287">
        <w:tblPrEx>
          <w:tblCellMar>
            <w:top w:w="0" w:type="dxa"/>
            <w:left w:w="0" w:type="dxa"/>
            <w:bottom w:w="0" w:type="dxa"/>
            <w:right w:w="0" w:type="dxa"/>
          </w:tblCellMar>
        </w:tblPrEx>
        <w:trPr>
          <w:trHeight w:val="720" w:hRule="atLeast"/>
        </w:trPr>
        <w:tc>
          <w:tcPr>
            <w:tcW w:w="5000" w:type="pct"/>
            <w:gridSpan w:val="7"/>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D1A118">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油气管道智能化系统运维服务满意度调查问卷</w:t>
            </w:r>
          </w:p>
        </w:tc>
      </w:tr>
      <w:tr w14:paraId="2194DD7F">
        <w:tblPrEx>
          <w:tblCellMar>
            <w:top w:w="0" w:type="dxa"/>
            <w:left w:w="0" w:type="dxa"/>
            <w:bottom w:w="0" w:type="dxa"/>
            <w:right w:w="0" w:type="dxa"/>
          </w:tblCellMar>
        </w:tblPrEx>
        <w:trPr>
          <w:trHeight w:val="908" w:hRule="atLeast"/>
        </w:trPr>
        <w:tc>
          <w:tcPr>
            <w:tcW w:w="3442" w:type="pct"/>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DE7E03">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运维满意度评价</w:t>
            </w:r>
          </w:p>
        </w:tc>
        <w:tc>
          <w:tcPr>
            <w:tcW w:w="1557" w:type="pct"/>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924BDE">
            <w:pPr>
              <w:widowControl/>
              <w:jc w:val="center"/>
              <w:textAlignment w:val="center"/>
              <w:rPr>
                <w:rFonts w:ascii="仿宋" w:hAnsi="仿宋" w:eastAsia="仿宋" w:cs="仿宋"/>
                <w:b/>
                <w:color w:val="auto"/>
                <w:kern w:val="2"/>
                <w:sz w:val="24"/>
                <w:szCs w:val="24"/>
                <w:highlight w:val="none"/>
              </w:rPr>
            </w:pPr>
            <w:r>
              <w:rPr>
                <w:rFonts w:hint="eastAsia" w:ascii="仿宋" w:hAnsi="仿宋" w:eastAsia="仿宋" w:cs="仿宋"/>
                <w:b/>
                <w:color w:val="auto"/>
                <w:kern w:val="0"/>
                <w:sz w:val="24"/>
                <w:szCs w:val="24"/>
                <w:highlight w:val="none"/>
                <w:lang w:bidi="ar"/>
              </w:rPr>
              <w:t>优（    ）良（    ）一般（    ）差（    ）</w:t>
            </w:r>
          </w:p>
        </w:tc>
      </w:tr>
    </w:tbl>
    <w:p w14:paraId="5961FFB1">
      <w:pPr>
        <w:spacing w:line="520" w:lineRule="exact"/>
        <w:ind w:firstLine="480"/>
        <w:jc w:val="right"/>
        <w:rPr>
          <w:rFonts w:hint="eastAsia" w:ascii="宋体" w:hAnsi="宋体" w:eastAsia="宋体" w:cs="宋体"/>
          <w:sz w:val="24"/>
          <w:szCs w:val="24"/>
        </w:rPr>
      </w:pPr>
    </w:p>
    <w:p w14:paraId="71130B63">
      <w:pPr>
        <w:pStyle w:val="2"/>
        <w:spacing w:before="156" w:after="156" w:line="360" w:lineRule="auto"/>
        <w:jc w:val="center"/>
        <w:rPr>
          <w:rFonts w:ascii="黑体" w:hAnsi="黑体" w:eastAsia="黑体"/>
          <w:b w:val="0"/>
        </w:rPr>
      </w:pPr>
    </w:p>
    <w:p w14:paraId="631DE17E">
      <w:pPr>
        <w:pStyle w:val="2"/>
        <w:spacing w:before="156" w:after="156" w:line="360" w:lineRule="auto"/>
        <w:rPr>
          <w:rFonts w:ascii="黑体" w:hAnsi="黑体" w:eastAsia="黑体"/>
          <w:b w:val="0"/>
        </w:rPr>
        <w:sectPr>
          <w:footerReference r:id="rId4" w:type="default"/>
          <w:pgSz w:w="11906" w:h="16838"/>
          <w:pgMar w:top="1440" w:right="1080" w:bottom="1440" w:left="1080" w:header="851" w:footer="992" w:gutter="0"/>
          <w:cols w:space="425" w:num="1"/>
          <w:docGrid w:linePitch="360" w:charSpace="0"/>
        </w:sectPr>
      </w:pPr>
    </w:p>
    <w:p w14:paraId="21BC1C28">
      <w:pPr>
        <w:keepNext/>
        <w:jc w:val="center"/>
        <w:outlineLvl w:val="0"/>
        <w:rPr>
          <w:rFonts w:ascii="黑体" w:eastAsia="黑体" w:cs="Times New Roman"/>
          <w:sz w:val="44"/>
          <w:szCs w:val="44"/>
        </w:rPr>
      </w:pPr>
      <w:bookmarkStart w:id="7" w:name="_Toc3829"/>
      <w:bookmarkStart w:id="8" w:name="_Toc30353"/>
      <w:r>
        <w:rPr>
          <w:rFonts w:hint="eastAsia" w:ascii="黑体" w:hAnsi="黑体" w:eastAsia="黑体"/>
          <w:sz w:val="44"/>
          <w:szCs w:val="44"/>
        </w:rPr>
        <w:t>第四章</w:t>
      </w:r>
      <w:r>
        <w:rPr>
          <w:rFonts w:hint="eastAsia" w:ascii="黑体" w:hAnsi="黑体" w:eastAsia="黑体"/>
        </w:rPr>
        <w:t xml:space="preserve"> </w:t>
      </w:r>
      <w:r>
        <w:rPr>
          <w:rFonts w:hint="eastAsia" w:ascii="黑体" w:eastAsia="黑体" w:cs="Times New Roman"/>
          <w:sz w:val="44"/>
          <w:szCs w:val="44"/>
        </w:rPr>
        <w:t>项目需求</w:t>
      </w:r>
      <w:bookmarkEnd w:id="7"/>
      <w:bookmarkEnd w:id="8"/>
    </w:p>
    <w:p w14:paraId="0CFEA1A2">
      <w:pPr>
        <w:spacing w:line="500" w:lineRule="exact"/>
        <w:ind w:firstLine="480"/>
        <w:jc w:val="left"/>
        <w:rPr>
          <w:sz w:val="24"/>
          <w:szCs w:val="24"/>
        </w:rPr>
      </w:pPr>
      <w:r>
        <w:rPr>
          <w:rFonts w:hint="eastAsia"/>
          <w:sz w:val="24"/>
          <w:szCs w:val="24"/>
        </w:rPr>
        <w:t>说明：本项目采购方式为竞争性磋商，项目属性为服务，采购标的对应的中小企业划分标准所属行业为</w:t>
      </w:r>
      <w:r>
        <w:rPr>
          <w:rFonts w:hint="eastAsia"/>
          <w:sz w:val="24"/>
          <w:szCs w:val="24"/>
          <w:u w:val="single"/>
        </w:rPr>
        <w:t>　</w:t>
      </w:r>
      <w:r>
        <w:rPr>
          <w:rFonts w:hint="eastAsia"/>
          <w:b/>
          <w:bCs/>
          <w:color w:val="FF0000"/>
          <w:sz w:val="24"/>
          <w:szCs w:val="24"/>
          <w:u w:val="single"/>
        </w:rPr>
        <w:t>软件和信息技术</w:t>
      </w:r>
      <w:r>
        <w:rPr>
          <w:b/>
          <w:bCs/>
          <w:color w:val="FF0000"/>
          <w:sz w:val="24"/>
          <w:szCs w:val="24"/>
          <w:u w:val="single"/>
        </w:rPr>
        <w:t>服务业</w:t>
      </w:r>
      <w:r>
        <w:rPr>
          <w:rFonts w:hint="eastAsia"/>
          <w:sz w:val="24"/>
          <w:szCs w:val="24"/>
          <w:u w:val="single"/>
        </w:rPr>
        <w:t>　</w:t>
      </w:r>
      <w:r>
        <w:rPr>
          <w:rFonts w:hint="eastAsia"/>
          <w:sz w:val="24"/>
          <w:szCs w:val="24"/>
        </w:rPr>
        <w:t>。</w:t>
      </w:r>
    </w:p>
    <w:p w14:paraId="6ABD539E">
      <w:pPr>
        <w:spacing w:line="500" w:lineRule="exact"/>
        <w:ind w:firstLine="480"/>
        <w:jc w:val="left"/>
        <w:rPr>
          <w:sz w:val="24"/>
          <w:szCs w:val="24"/>
        </w:rPr>
      </w:pPr>
      <w:r>
        <w:rPr>
          <w:rFonts w:hint="eastAsia" w:ascii="宋体" w:hAnsi="宋体" w:eastAsia="宋体" w:cs="Times New Roman"/>
          <w:bCs/>
          <w:sz w:val="24"/>
          <w:szCs w:val="24"/>
        </w:rPr>
        <w:t>根据《关于印发中小企业划型标准规定的通知》（工信部联企业〔2011〕300号），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eastAsia="宋体" w:cs="宋体"/>
          <w:sz w:val="24"/>
          <w:szCs w:val="24"/>
        </w:rPr>
        <w:t>。</w:t>
      </w:r>
    </w:p>
    <w:p w14:paraId="049240A6">
      <w:pPr>
        <w:spacing w:line="500" w:lineRule="exact"/>
        <w:ind w:firstLine="480"/>
        <w:jc w:val="left"/>
        <w:rPr>
          <w:sz w:val="24"/>
          <w:szCs w:val="24"/>
        </w:rPr>
      </w:pPr>
      <w:r>
        <w:rPr>
          <w:rFonts w:hint="eastAsia"/>
          <w:sz w:val="24"/>
          <w:szCs w:val="24"/>
        </w:rPr>
        <w:t>1、根据《政府采购需求管理办法》等有关规定，采购人确定采购需求。</w:t>
      </w:r>
    </w:p>
    <w:p w14:paraId="0C5D8FD5">
      <w:pPr>
        <w:spacing w:line="500" w:lineRule="exact"/>
        <w:ind w:firstLine="480"/>
        <w:jc w:val="left"/>
        <w:rPr>
          <w:sz w:val="24"/>
          <w:szCs w:val="24"/>
        </w:rPr>
      </w:pPr>
      <w:r>
        <w:rPr>
          <w:rFonts w:hint="eastAsia"/>
          <w:sz w:val="24"/>
          <w:szCs w:val="24"/>
        </w:rPr>
        <w:t>2、</w:t>
      </w:r>
      <w:r>
        <w:rPr>
          <w:rFonts w:hint="eastAsia"/>
          <w:b/>
          <w:sz w:val="24"/>
          <w:szCs w:val="24"/>
        </w:rPr>
        <w:t>本磋商文件中</w:t>
      </w:r>
      <w:r>
        <w:rPr>
          <w:rFonts w:hint="eastAsia"/>
          <w:b/>
          <w:i/>
          <w:color w:val="FF0000"/>
          <w:sz w:val="24"/>
          <w:szCs w:val="24"/>
          <w:u w:val="single"/>
        </w:rPr>
        <w:t>斜体且有下划线部分</w:t>
      </w:r>
      <w:r>
        <w:rPr>
          <w:rFonts w:hint="eastAsia"/>
          <w:b/>
          <w:sz w:val="24"/>
          <w:szCs w:val="24"/>
        </w:rPr>
        <w:t>为实质性要求和条件</w:t>
      </w:r>
      <w:r>
        <w:rPr>
          <w:rFonts w:hint="eastAsia"/>
          <w:sz w:val="24"/>
          <w:szCs w:val="24"/>
        </w:rPr>
        <w:t>，由采购人根据实际情况设置，供应商须逐条明确作出满足实质性要求和条件的响应，否则将按无效响应处理。</w:t>
      </w:r>
    </w:p>
    <w:tbl>
      <w:tblPr>
        <w:tblStyle w:val="44"/>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8248"/>
      </w:tblGrid>
      <w:tr w14:paraId="3DE0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Borders>
              <w:top w:val="single" w:color="auto" w:sz="4" w:space="0"/>
            </w:tcBorders>
          </w:tcPr>
          <w:p w14:paraId="58A5B8A5">
            <w:pPr>
              <w:spacing w:line="500" w:lineRule="exact"/>
              <w:jc w:val="center"/>
              <w:rPr>
                <w:b/>
                <w:bCs w:val="0"/>
                <w:sz w:val="24"/>
                <w:szCs w:val="24"/>
              </w:rPr>
            </w:pPr>
            <w:r>
              <w:rPr>
                <w:b/>
                <w:bCs w:val="0"/>
                <w:sz w:val="24"/>
                <w:szCs w:val="24"/>
              </w:rPr>
              <w:t>序号</w:t>
            </w:r>
          </w:p>
        </w:tc>
        <w:tc>
          <w:tcPr>
            <w:tcW w:w="8248" w:type="dxa"/>
            <w:tcBorders>
              <w:top w:val="single" w:color="auto" w:sz="4" w:space="0"/>
            </w:tcBorders>
          </w:tcPr>
          <w:p w14:paraId="05DC33CC">
            <w:pPr>
              <w:spacing w:line="500" w:lineRule="exact"/>
              <w:jc w:val="center"/>
              <w:rPr>
                <w:b/>
                <w:bCs w:val="0"/>
                <w:sz w:val="24"/>
                <w:szCs w:val="24"/>
              </w:rPr>
            </w:pPr>
            <w:r>
              <w:rPr>
                <w:b/>
                <w:bCs w:val="0"/>
                <w:sz w:val="24"/>
                <w:szCs w:val="24"/>
              </w:rPr>
              <w:t>实质性要求和条件</w:t>
            </w:r>
          </w:p>
        </w:tc>
      </w:tr>
      <w:tr w14:paraId="5479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14:paraId="3259DA55">
            <w:pPr>
              <w:spacing w:line="500" w:lineRule="exact"/>
              <w:jc w:val="center"/>
              <w:rPr>
                <w:rFonts w:ascii="宋体" w:hAnsi="宋体" w:eastAsia="宋体" w:cs="宋体"/>
                <w:b/>
                <w:bCs w:val="0"/>
                <w:sz w:val="24"/>
                <w:szCs w:val="24"/>
              </w:rPr>
            </w:pPr>
            <w:r>
              <w:rPr>
                <w:rFonts w:hint="eastAsia" w:ascii="宋体" w:hAnsi="宋体" w:eastAsia="宋体" w:cs="宋体"/>
                <w:b/>
                <w:bCs w:val="0"/>
                <w:sz w:val="24"/>
                <w:szCs w:val="24"/>
              </w:rPr>
              <w:t>1</w:t>
            </w:r>
          </w:p>
        </w:tc>
        <w:tc>
          <w:tcPr>
            <w:tcW w:w="8248" w:type="dxa"/>
          </w:tcPr>
          <w:p w14:paraId="0BB1464B">
            <w:pPr>
              <w:pStyle w:val="15"/>
              <w:ind w:firstLine="0"/>
              <w:rPr>
                <w:b/>
                <w:bCs w:val="0"/>
                <w:color w:val="000000"/>
                <w:sz w:val="18"/>
                <w:szCs w:val="18"/>
              </w:rPr>
            </w:pPr>
            <w:r>
              <w:rPr>
                <w:rFonts w:hint="eastAsia" w:ascii="宋体" w:hAnsi="宋体" w:cs="仿宋_GB2312"/>
                <w:b/>
                <w:i/>
                <w:iCs/>
                <w:sz w:val="24"/>
                <w:szCs w:val="22"/>
                <w:highlight w:val="none"/>
                <w:u w:val="single"/>
              </w:rPr>
              <w:t>信息传输：配套稳定的</w:t>
            </w:r>
            <w:r>
              <w:rPr>
                <w:rFonts w:hint="eastAsia" w:cs="仿宋_GB2312"/>
                <w:b/>
                <w:i/>
                <w:iCs/>
                <w:sz w:val="24"/>
                <w:szCs w:val="22"/>
                <w:highlight w:val="none"/>
                <w:u w:val="single"/>
                <w:lang w:val="en-US" w:eastAsia="zh-CN"/>
              </w:rPr>
              <w:t>前端视频监控点位</w:t>
            </w:r>
            <w:r>
              <w:rPr>
                <w:rFonts w:hint="eastAsia" w:ascii="宋体" w:hAnsi="宋体" w:cs="仿宋_GB2312"/>
                <w:b/>
                <w:i/>
                <w:iCs/>
                <w:sz w:val="24"/>
                <w:szCs w:val="22"/>
                <w:highlight w:val="none"/>
                <w:u w:val="single"/>
              </w:rPr>
              <w:t>传输，</w:t>
            </w:r>
            <w:r>
              <w:rPr>
                <w:rFonts w:hint="eastAsia" w:cs="仿宋_GB2312"/>
                <w:b/>
                <w:i/>
                <w:iCs/>
                <w:sz w:val="24"/>
                <w:szCs w:val="22"/>
                <w:highlight w:val="none"/>
                <w:u w:val="single"/>
                <w:lang w:val="en-US" w:eastAsia="zh-CN"/>
              </w:rPr>
              <w:t>并保证</w:t>
            </w:r>
            <w:r>
              <w:rPr>
                <w:rFonts w:hint="eastAsia" w:ascii="宋体" w:hAnsi="宋体" w:cs="仿宋_GB2312"/>
                <w:b/>
                <w:i/>
                <w:iCs/>
                <w:sz w:val="24"/>
                <w:szCs w:val="22"/>
                <w:highlight w:val="none"/>
                <w:u w:val="single"/>
              </w:rPr>
              <w:t>传输带宽不低于10M。</w:t>
            </w:r>
          </w:p>
        </w:tc>
      </w:tr>
      <w:tr w14:paraId="1E59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14:paraId="30CA8DA7">
            <w:pPr>
              <w:spacing w:line="500" w:lineRule="exact"/>
              <w:jc w:val="center"/>
              <w:rPr>
                <w:rFonts w:ascii="宋体" w:hAnsi="宋体" w:eastAsia="宋体" w:cs="宋体"/>
                <w:b/>
                <w:bCs w:val="0"/>
                <w:sz w:val="24"/>
                <w:szCs w:val="24"/>
              </w:rPr>
            </w:pPr>
            <w:r>
              <w:rPr>
                <w:rFonts w:hint="eastAsia" w:ascii="宋体" w:hAnsi="宋体" w:eastAsia="宋体" w:cs="宋体"/>
                <w:b/>
                <w:bCs w:val="0"/>
                <w:sz w:val="24"/>
                <w:szCs w:val="24"/>
              </w:rPr>
              <w:t>2</w:t>
            </w:r>
          </w:p>
        </w:tc>
        <w:tc>
          <w:tcPr>
            <w:tcW w:w="8248" w:type="dxa"/>
            <w:vAlign w:val="top"/>
          </w:tcPr>
          <w:p w14:paraId="15C87D17">
            <w:pPr>
              <w:pStyle w:val="217"/>
              <w:keepNext w:val="0"/>
              <w:keepLines w:val="0"/>
              <w:pageBreakBefore w:val="0"/>
              <w:wordWrap/>
              <w:overflowPunct/>
              <w:topLinePunct w:val="0"/>
              <w:bidi w:val="0"/>
              <w:spacing w:before="185" w:line="227" w:lineRule="auto"/>
              <w:ind w:left="132" w:leftChars="0" w:right="0" w:rightChars="0"/>
              <w:rPr>
                <w:rFonts w:ascii="宋体" w:hAnsi="宋体" w:cs="宋体"/>
                <w:b/>
                <w:bCs w:val="0"/>
                <w:sz w:val="24"/>
              </w:rPr>
            </w:pPr>
            <w:r>
              <w:rPr>
                <w:rFonts w:hint="eastAsia" w:ascii="宋体" w:hAnsi="宋体" w:eastAsia="宋体" w:cs="仿宋_GB2312"/>
                <w:b/>
                <w:i/>
                <w:iCs/>
                <w:sz w:val="24"/>
                <w:highlight w:val="none"/>
                <w:u w:val="single"/>
              </w:rPr>
              <w:t>服务期：期限为1年。服务期从验收合格且整体交付使用之日起计算。</w:t>
            </w:r>
          </w:p>
        </w:tc>
      </w:tr>
      <w:tr w14:paraId="6995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14:paraId="74168E6B">
            <w:pPr>
              <w:spacing w:line="500" w:lineRule="exact"/>
              <w:jc w:val="center"/>
              <w:rPr>
                <w:rFonts w:ascii="宋体" w:hAnsi="宋体" w:eastAsia="宋体" w:cs="宋体"/>
                <w:b/>
                <w:bCs w:val="0"/>
                <w:sz w:val="24"/>
                <w:szCs w:val="24"/>
              </w:rPr>
            </w:pPr>
            <w:bookmarkStart w:id="9" w:name="_Toc2871"/>
            <w:r>
              <w:rPr>
                <w:rFonts w:hint="eastAsia" w:ascii="宋体" w:hAnsi="宋体" w:eastAsia="宋体" w:cs="宋体"/>
                <w:b/>
                <w:bCs w:val="0"/>
                <w:sz w:val="24"/>
                <w:szCs w:val="24"/>
              </w:rPr>
              <w:t>3</w:t>
            </w:r>
          </w:p>
        </w:tc>
        <w:tc>
          <w:tcPr>
            <w:tcW w:w="8248" w:type="dxa"/>
            <w:vAlign w:val="top"/>
          </w:tcPr>
          <w:p w14:paraId="3AA25F37">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宋体" w:hAnsi="宋体" w:eastAsia="宋体" w:cs="仿宋_GB2312"/>
                <w:b/>
                <w:i/>
                <w:iCs/>
                <w:snapToGrid/>
                <w:kern w:val="0"/>
                <w:sz w:val="24"/>
                <w:szCs w:val="22"/>
                <w:highlight w:val="none"/>
                <w:u w:val="single"/>
                <w:lang w:eastAsia="zh-CN"/>
              </w:rPr>
            </w:pPr>
            <w:r>
              <w:rPr>
                <w:rFonts w:hint="eastAsia" w:ascii="宋体" w:hAnsi="宋体" w:eastAsia="宋体" w:cs="仿宋_GB2312"/>
                <w:b/>
                <w:i/>
                <w:iCs/>
                <w:snapToGrid/>
                <w:kern w:val="0"/>
                <w:sz w:val="24"/>
                <w:szCs w:val="22"/>
                <w:highlight w:val="none"/>
                <w:u w:val="single"/>
                <w:lang w:eastAsia="zh-CN"/>
              </w:rPr>
              <w:t>合同签订后30日内，预付半年运维费用，剩余费用在合同结束后次月支付。以半年为维度对运维工作进行考核，考核高于90分的全额支付，考核高于80分低于90分的，按百分制比例付款；考核低于80分的，解除合同。上半年考核情况在下半年付款时兑现。</w:t>
            </w:r>
          </w:p>
          <w:p w14:paraId="4B2A370B">
            <w:pPr>
              <w:pStyle w:val="217"/>
              <w:keepNext w:val="0"/>
              <w:keepLines w:val="0"/>
              <w:pageBreakBefore w:val="0"/>
              <w:wordWrap/>
              <w:overflowPunct/>
              <w:topLinePunct w:val="0"/>
              <w:bidi w:val="0"/>
              <w:spacing w:before="185" w:line="227" w:lineRule="auto"/>
              <w:ind w:left="132" w:leftChars="0" w:right="0" w:rightChars="0"/>
              <w:rPr>
                <w:rFonts w:ascii="宋体" w:hAnsi="宋体" w:cs="宋体"/>
                <w:b/>
                <w:bCs w:val="0"/>
                <w:i/>
                <w:sz w:val="24"/>
                <w:u w:val="single"/>
              </w:rPr>
            </w:pPr>
            <w:r>
              <w:rPr>
                <w:rFonts w:hint="eastAsia" w:ascii="宋体" w:hAnsi="宋体" w:eastAsia="宋体" w:cs="仿宋_GB2312"/>
                <w:b/>
                <w:i/>
                <w:iCs/>
                <w:snapToGrid/>
                <w:kern w:val="0"/>
                <w:sz w:val="24"/>
                <w:szCs w:val="22"/>
                <w:highlight w:val="none"/>
                <w:u w:val="single"/>
                <w:lang w:eastAsia="zh-CN"/>
              </w:rPr>
              <w:t>乙方申请付款前须出具符合甲方要求的正规税费发票，</w:t>
            </w:r>
            <w:r>
              <w:rPr>
                <w:rFonts w:hint="eastAsia" w:ascii="宋体" w:hAnsi="宋体" w:eastAsia="宋体" w:cs="仿宋_GB2312"/>
                <w:b/>
                <w:i/>
                <w:iCs/>
                <w:snapToGrid/>
                <w:kern w:val="0"/>
                <w:sz w:val="24"/>
                <w:szCs w:val="22"/>
                <w:highlight w:val="none"/>
                <w:u w:val="single"/>
                <w:lang w:eastAsia="zh-Hans"/>
              </w:rPr>
              <w:t>甲方审核无误后付款</w:t>
            </w:r>
            <w:r>
              <w:rPr>
                <w:rFonts w:hint="eastAsia" w:ascii="宋体" w:hAnsi="宋体" w:eastAsia="宋体" w:cs="仿宋_GB2312"/>
                <w:b/>
                <w:i/>
                <w:iCs/>
                <w:snapToGrid/>
                <w:kern w:val="0"/>
                <w:sz w:val="24"/>
                <w:szCs w:val="22"/>
                <w:highlight w:val="none"/>
                <w:u w:val="single"/>
                <w:lang w:eastAsia="zh-CN"/>
              </w:rPr>
              <w:t>。</w:t>
            </w:r>
          </w:p>
        </w:tc>
      </w:tr>
    </w:tbl>
    <w:p w14:paraId="4AE1FD58">
      <w:pPr>
        <w:spacing w:line="360" w:lineRule="auto"/>
        <w:ind w:firstLine="562"/>
        <w:rPr>
          <w:rFonts w:ascii="Times New Roman" w:hAnsi="Times New Roman" w:eastAsia="宋体" w:cs="Times New Roman"/>
          <w:b/>
          <w:sz w:val="28"/>
          <w:szCs w:val="28"/>
        </w:rPr>
      </w:pPr>
      <w:r>
        <w:rPr>
          <w:rFonts w:hint="eastAsia" w:ascii="Times New Roman" w:hAnsi="Times New Roman" w:eastAsia="宋体" w:cs="Times New Roman"/>
          <w:b/>
          <w:sz w:val="28"/>
          <w:szCs w:val="28"/>
        </w:rPr>
        <w:t>一、项目概况</w:t>
      </w:r>
    </w:p>
    <w:p w14:paraId="674E7C23">
      <w:pPr>
        <w:spacing w:line="360" w:lineRule="auto"/>
        <w:ind w:firstLine="480"/>
        <w:rPr>
          <w:rFonts w:hint="eastAsia"/>
          <w:sz w:val="24"/>
          <w:szCs w:val="24"/>
        </w:rPr>
      </w:pPr>
      <w:r>
        <w:rPr>
          <w:rFonts w:hint="eastAsia"/>
          <w:sz w:val="24"/>
          <w:szCs w:val="24"/>
          <w:lang w:eastAsia="zh-CN"/>
        </w:rPr>
        <w:t>连云港市发改委拟为油气管道保护智能化系统采购日常运维服务，包括90路高清视频监控设备的维护与管理。在这90路监控中，有20路需要利用高空点位资源进行部署。所提供的服务内容需全面覆盖多个方面，包括但不限于接电服务，保障监控设备的正常供电；光纤传输服务，保证视频数据能够高效稳定地传输至相关平台；20路高空资源挂载服务，支持高空点位监控设备的运行；以及维修维护服务，及时解决设备故障并确保其长期稳定运行。所有这些服务的总费用必须严格控制在项目预算范围之内。如果供应商的报价或服务方案超出项目总预算，则将被视为无效响应，并取消其参与资格</w:t>
      </w:r>
      <w:r>
        <w:rPr>
          <w:rFonts w:hint="eastAsia"/>
          <w:sz w:val="24"/>
          <w:szCs w:val="24"/>
        </w:rPr>
        <w:t>。</w:t>
      </w:r>
    </w:p>
    <w:p w14:paraId="1A889DC5">
      <w:pPr>
        <w:spacing w:line="360" w:lineRule="auto"/>
        <w:ind w:firstLine="420"/>
        <w:rPr>
          <w:rFonts w:hint="eastAsia" w:ascii="宋体" w:hAnsi="宋体" w:eastAsia="宋体" w:cs="仿宋_GB2312"/>
          <w:bCs/>
          <w:sz w:val="24"/>
        </w:rPr>
      </w:pPr>
      <w:r>
        <w:rPr>
          <w:rFonts w:hint="eastAsia" w:ascii="宋体" w:hAnsi="宋体" w:eastAsia="宋体" w:cs="仿宋_GB2312"/>
          <w:bCs/>
          <w:sz w:val="24"/>
        </w:rPr>
        <w:t>20路高空资源清单：</w:t>
      </w:r>
    </w:p>
    <w:tbl>
      <w:tblPr>
        <w:tblStyle w:val="43"/>
        <w:tblW w:w="4998" w:type="pct"/>
        <w:jc w:val="center"/>
        <w:tblLayout w:type="autofit"/>
        <w:tblCellMar>
          <w:top w:w="0" w:type="dxa"/>
          <w:left w:w="108" w:type="dxa"/>
          <w:bottom w:w="0" w:type="dxa"/>
          <w:right w:w="108" w:type="dxa"/>
        </w:tblCellMar>
      </w:tblPr>
      <w:tblGrid>
        <w:gridCol w:w="4589"/>
        <w:gridCol w:w="3013"/>
        <w:gridCol w:w="2816"/>
      </w:tblGrid>
      <w:tr w14:paraId="49A8706F">
        <w:tblPrEx>
          <w:tblCellMar>
            <w:top w:w="0" w:type="dxa"/>
            <w:left w:w="108" w:type="dxa"/>
            <w:bottom w:w="0" w:type="dxa"/>
            <w:right w:w="108" w:type="dxa"/>
          </w:tblCellMar>
        </w:tblPrEx>
        <w:trPr>
          <w:trHeight w:val="288" w:hRule="atLeast"/>
          <w:jc w:val="center"/>
        </w:trPr>
        <w:tc>
          <w:tcPr>
            <w:tcW w:w="2202" w:type="pct"/>
            <w:tcBorders>
              <w:top w:val="single" w:color="000000" w:sz="4" w:space="0"/>
              <w:left w:val="single" w:color="000000" w:sz="4" w:space="0"/>
              <w:bottom w:val="single" w:color="000000" w:sz="4" w:space="0"/>
              <w:right w:val="single" w:color="000000" w:sz="4" w:space="0"/>
            </w:tcBorders>
            <w:shd w:val="clear" w:color="auto" w:fill="A6A6A6"/>
            <w:vAlign w:val="center"/>
          </w:tcPr>
          <w:p w14:paraId="06193D1A">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摄像机名称</w:t>
            </w:r>
          </w:p>
        </w:tc>
        <w:tc>
          <w:tcPr>
            <w:tcW w:w="1446" w:type="pct"/>
            <w:tcBorders>
              <w:top w:val="single" w:color="000000" w:sz="4" w:space="0"/>
              <w:left w:val="single" w:color="000000" w:sz="4" w:space="0"/>
              <w:bottom w:val="single" w:color="000000" w:sz="4" w:space="0"/>
              <w:right w:val="single" w:color="000000" w:sz="4" w:space="0"/>
            </w:tcBorders>
            <w:shd w:val="clear" w:color="auto" w:fill="A6A6A6"/>
            <w:vAlign w:val="center"/>
          </w:tcPr>
          <w:p w14:paraId="1149BA35">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经度</w:t>
            </w:r>
          </w:p>
        </w:tc>
        <w:tc>
          <w:tcPr>
            <w:tcW w:w="1351" w:type="pct"/>
            <w:tcBorders>
              <w:top w:val="single" w:color="000000" w:sz="4" w:space="0"/>
              <w:left w:val="single" w:color="000000" w:sz="4" w:space="0"/>
              <w:bottom w:val="single" w:color="000000" w:sz="4" w:space="0"/>
              <w:right w:val="single" w:color="000000" w:sz="4" w:space="0"/>
            </w:tcBorders>
            <w:shd w:val="clear" w:color="auto" w:fill="A6A6A6"/>
            <w:vAlign w:val="center"/>
          </w:tcPr>
          <w:p w14:paraId="547939BA">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纬度</w:t>
            </w:r>
          </w:p>
        </w:tc>
      </w:tr>
      <w:tr w14:paraId="13D96863">
        <w:tblPrEx>
          <w:tblCellMar>
            <w:top w:w="0" w:type="dxa"/>
            <w:left w:w="108" w:type="dxa"/>
            <w:bottom w:w="0" w:type="dxa"/>
            <w:right w:w="108" w:type="dxa"/>
          </w:tblCellMar>
        </w:tblPrEx>
        <w:trPr>
          <w:trHeight w:val="288" w:hRule="atLeast"/>
          <w:jc w:val="center"/>
        </w:trPr>
        <w:tc>
          <w:tcPr>
            <w:tcW w:w="2202" w:type="pct"/>
            <w:tcBorders>
              <w:top w:val="single" w:color="000000" w:sz="4" w:space="0"/>
              <w:left w:val="single" w:color="000000" w:sz="4" w:space="0"/>
              <w:bottom w:val="single" w:color="000000" w:sz="4" w:space="0"/>
              <w:right w:val="single" w:color="000000" w:sz="4" w:space="0"/>
            </w:tcBorders>
            <w:noWrap/>
            <w:vAlign w:val="center"/>
          </w:tcPr>
          <w:p w14:paraId="5DEE2053">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柘汪镇吴公村</w:t>
            </w:r>
          </w:p>
        </w:tc>
        <w:tc>
          <w:tcPr>
            <w:tcW w:w="1446" w:type="pct"/>
            <w:tcBorders>
              <w:top w:val="single" w:color="000000" w:sz="4" w:space="0"/>
              <w:left w:val="single" w:color="000000" w:sz="4" w:space="0"/>
              <w:bottom w:val="single" w:color="000000" w:sz="4" w:space="0"/>
              <w:right w:val="single" w:color="000000" w:sz="4" w:space="0"/>
            </w:tcBorders>
            <w:noWrap/>
            <w:vAlign w:val="center"/>
          </w:tcPr>
          <w:p w14:paraId="135AED5E">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119.229715</w:t>
            </w:r>
          </w:p>
        </w:tc>
        <w:tc>
          <w:tcPr>
            <w:tcW w:w="1351" w:type="pct"/>
            <w:tcBorders>
              <w:top w:val="single" w:color="000000" w:sz="4" w:space="0"/>
              <w:left w:val="single" w:color="000000" w:sz="4" w:space="0"/>
              <w:bottom w:val="single" w:color="000000" w:sz="4" w:space="0"/>
              <w:right w:val="single" w:color="000000" w:sz="4" w:space="0"/>
            </w:tcBorders>
            <w:vAlign w:val="center"/>
          </w:tcPr>
          <w:p w14:paraId="2250E121">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35.090942</w:t>
            </w:r>
          </w:p>
        </w:tc>
      </w:tr>
      <w:tr w14:paraId="096E0901">
        <w:tblPrEx>
          <w:tblCellMar>
            <w:top w:w="0" w:type="dxa"/>
            <w:left w:w="108" w:type="dxa"/>
            <w:bottom w:w="0" w:type="dxa"/>
            <w:right w:w="108" w:type="dxa"/>
          </w:tblCellMar>
        </w:tblPrEx>
        <w:trPr>
          <w:trHeight w:val="288" w:hRule="atLeast"/>
          <w:jc w:val="center"/>
        </w:trPr>
        <w:tc>
          <w:tcPr>
            <w:tcW w:w="2202" w:type="pct"/>
            <w:tcBorders>
              <w:top w:val="single" w:color="000000" w:sz="4" w:space="0"/>
              <w:left w:val="single" w:color="000000" w:sz="4" w:space="0"/>
              <w:bottom w:val="single" w:color="000000" w:sz="4" w:space="0"/>
              <w:right w:val="single" w:color="000000" w:sz="4" w:space="0"/>
            </w:tcBorders>
            <w:noWrap/>
            <w:vAlign w:val="center"/>
          </w:tcPr>
          <w:p w14:paraId="168656B0">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小龙头村</w:t>
            </w:r>
          </w:p>
        </w:tc>
        <w:tc>
          <w:tcPr>
            <w:tcW w:w="1446" w:type="pct"/>
            <w:tcBorders>
              <w:top w:val="single" w:color="000000" w:sz="4" w:space="0"/>
              <w:left w:val="single" w:color="000000" w:sz="4" w:space="0"/>
              <w:bottom w:val="single" w:color="000000" w:sz="4" w:space="0"/>
              <w:right w:val="single" w:color="000000" w:sz="4" w:space="0"/>
            </w:tcBorders>
            <w:noWrap/>
            <w:vAlign w:val="center"/>
          </w:tcPr>
          <w:p w14:paraId="3AB864AC">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119.197858</w:t>
            </w:r>
          </w:p>
        </w:tc>
        <w:tc>
          <w:tcPr>
            <w:tcW w:w="1351" w:type="pct"/>
            <w:tcBorders>
              <w:top w:val="single" w:color="000000" w:sz="4" w:space="0"/>
              <w:left w:val="single" w:color="000000" w:sz="4" w:space="0"/>
              <w:bottom w:val="single" w:color="000000" w:sz="4" w:space="0"/>
              <w:right w:val="single" w:color="000000" w:sz="4" w:space="0"/>
            </w:tcBorders>
            <w:vAlign w:val="center"/>
          </w:tcPr>
          <w:p w14:paraId="4EFADFF1">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35.04862</w:t>
            </w:r>
          </w:p>
        </w:tc>
      </w:tr>
      <w:tr w14:paraId="7DE0034A">
        <w:tblPrEx>
          <w:tblCellMar>
            <w:top w:w="0" w:type="dxa"/>
            <w:left w:w="108" w:type="dxa"/>
            <w:bottom w:w="0" w:type="dxa"/>
            <w:right w:w="108" w:type="dxa"/>
          </w:tblCellMar>
        </w:tblPrEx>
        <w:trPr>
          <w:trHeight w:val="288" w:hRule="atLeast"/>
          <w:jc w:val="center"/>
        </w:trPr>
        <w:tc>
          <w:tcPr>
            <w:tcW w:w="2202" w:type="pct"/>
            <w:tcBorders>
              <w:top w:val="single" w:color="000000" w:sz="4" w:space="0"/>
              <w:left w:val="single" w:color="000000" w:sz="4" w:space="0"/>
              <w:bottom w:val="single" w:color="000000" w:sz="4" w:space="0"/>
              <w:right w:val="single" w:color="000000" w:sz="4" w:space="0"/>
            </w:tcBorders>
            <w:noWrap/>
            <w:vAlign w:val="center"/>
          </w:tcPr>
          <w:p w14:paraId="5D5C26C8">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苏岭村</w:t>
            </w:r>
          </w:p>
        </w:tc>
        <w:tc>
          <w:tcPr>
            <w:tcW w:w="1446" w:type="pct"/>
            <w:tcBorders>
              <w:top w:val="single" w:color="000000" w:sz="4" w:space="0"/>
              <w:left w:val="single" w:color="000000" w:sz="4" w:space="0"/>
              <w:bottom w:val="single" w:color="000000" w:sz="4" w:space="0"/>
              <w:right w:val="single" w:color="000000" w:sz="4" w:space="0"/>
            </w:tcBorders>
            <w:noWrap/>
            <w:vAlign w:val="center"/>
          </w:tcPr>
          <w:p w14:paraId="3348A212">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119.190481</w:t>
            </w:r>
          </w:p>
        </w:tc>
        <w:tc>
          <w:tcPr>
            <w:tcW w:w="1351" w:type="pct"/>
            <w:tcBorders>
              <w:top w:val="single" w:color="000000" w:sz="4" w:space="0"/>
              <w:left w:val="single" w:color="000000" w:sz="4" w:space="0"/>
              <w:bottom w:val="single" w:color="000000" w:sz="4" w:space="0"/>
              <w:right w:val="single" w:color="000000" w:sz="4" w:space="0"/>
            </w:tcBorders>
            <w:vAlign w:val="center"/>
          </w:tcPr>
          <w:p w14:paraId="047E5719">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35.033061</w:t>
            </w:r>
          </w:p>
        </w:tc>
      </w:tr>
      <w:tr w14:paraId="4D4711C8">
        <w:tblPrEx>
          <w:tblCellMar>
            <w:top w:w="0" w:type="dxa"/>
            <w:left w:w="108" w:type="dxa"/>
            <w:bottom w:w="0" w:type="dxa"/>
            <w:right w:w="108" w:type="dxa"/>
          </w:tblCellMar>
        </w:tblPrEx>
        <w:trPr>
          <w:trHeight w:val="288" w:hRule="atLeast"/>
          <w:jc w:val="center"/>
        </w:trPr>
        <w:tc>
          <w:tcPr>
            <w:tcW w:w="2202" w:type="pct"/>
            <w:tcBorders>
              <w:top w:val="single" w:color="000000" w:sz="4" w:space="0"/>
              <w:left w:val="single" w:color="000000" w:sz="4" w:space="0"/>
              <w:bottom w:val="single" w:color="000000" w:sz="4" w:space="0"/>
              <w:right w:val="single" w:color="000000" w:sz="4" w:space="0"/>
            </w:tcBorders>
            <w:noWrap/>
            <w:vAlign w:val="center"/>
          </w:tcPr>
          <w:p w14:paraId="15EB2A57">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大朱尹村</w:t>
            </w:r>
          </w:p>
        </w:tc>
        <w:tc>
          <w:tcPr>
            <w:tcW w:w="1446" w:type="pct"/>
            <w:tcBorders>
              <w:top w:val="single" w:color="000000" w:sz="4" w:space="0"/>
              <w:left w:val="single" w:color="000000" w:sz="4" w:space="0"/>
              <w:bottom w:val="single" w:color="000000" w:sz="4" w:space="0"/>
              <w:right w:val="single" w:color="000000" w:sz="4" w:space="0"/>
            </w:tcBorders>
            <w:noWrap/>
            <w:vAlign w:val="center"/>
          </w:tcPr>
          <w:p w14:paraId="79C41A34">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119.128118</w:t>
            </w:r>
          </w:p>
        </w:tc>
        <w:tc>
          <w:tcPr>
            <w:tcW w:w="1351" w:type="pct"/>
            <w:tcBorders>
              <w:top w:val="single" w:color="000000" w:sz="4" w:space="0"/>
              <w:left w:val="single" w:color="000000" w:sz="4" w:space="0"/>
              <w:bottom w:val="single" w:color="000000" w:sz="4" w:space="0"/>
              <w:right w:val="single" w:color="000000" w:sz="4" w:space="0"/>
            </w:tcBorders>
            <w:noWrap/>
            <w:vAlign w:val="center"/>
          </w:tcPr>
          <w:p w14:paraId="732E2B7B">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34.956205</w:t>
            </w:r>
          </w:p>
        </w:tc>
      </w:tr>
      <w:tr w14:paraId="1FC5096A">
        <w:tblPrEx>
          <w:tblCellMar>
            <w:top w:w="0" w:type="dxa"/>
            <w:left w:w="108" w:type="dxa"/>
            <w:bottom w:w="0" w:type="dxa"/>
            <w:right w:w="108" w:type="dxa"/>
          </w:tblCellMar>
        </w:tblPrEx>
        <w:trPr>
          <w:trHeight w:val="288" w:hRule="atLeast"/>
          <w:jc w:val="center"/>
        </w:trPr>
        <w:tc>
          <w:tcPr>
            <w:tcW w:w="2202" w:type="pct"/>
            <w:tcBorders>
              <w:top w:val="single" w:color="000000" w:sz="4" w:space="0"/>
              <w:left w:val="single" w:color="000000" w:sz="4" w:space="0"/>
              <w:bottom w:val="single" w:color="000000" w:sz="4" w:space="0"/>
              <w:right w:val="single" w:color="000000" w:sz="4" w:space="0"/>
            </w:tcBorders>
            <w:noWrap/>
            <w:vAlign w:val="center"/>
          </w:tcPr>
          <w:p w14:paraId="3A82087D">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S242省道及赣马镇</w:t>
            </w:r>
          </w:p>
        </w:tc>
        <w:tc>
          <w:tcPr>
            <w:tcW w:w="1446" w:type="pct"/>
            <w:tcBorders>
              <w:top w:val="single" w:color="000000" w:sz="4" w:space="0"/>
              <w:left w:val="single" w:color="000000" w:sz="4" w:space="0"/>
              <w:bottom w:val="single" w:color="000000" w:sz="4" w:space="0"/>
              <w:right w:val="single" w:color="000000" w:sz="4" w:space="0"/>
            </w:tcBorders>
            <w:noWrap/>
            <w:vAlign w:val="center"/>
          </w:tcPr>
          <w:p w14:paraId="298C6D4B">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119.101187</w:t>
            </w:r>
          </w:p>
        </w:tc>
        <w:tc>
          <w:tcPr>
            <w:tcW w:w="1351" w:type="pct"/>
            <w:tcBorders>
              <w:top w:val="single" w:color="000000" w:sz="4" w:space="0"/>
              <w:left w:val="single" w:color="000000" w:sz="4" w:space="0"/>
              <w:bottom w:val="single" w:color="000000" w:sz="4" w:space="0"/>
              <w:right w:val="single" w:color="000000" w:sz="4" w:space="0"/>
            </w:tcBorders>
            <w:noWrap/>
            <w:vAlign w:val="center"/>
          </w:tcPr>
          <w:p w14:paraId="0B498D79">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34.890113</w:t>
            </w:r>
          </w:p>
        </w:tc>
      </w:tr>
      <w:tr w14:paraId="0A4B629A">
        <w:tblPrEx>
          <w:tblCellMar>
            <w:top w:w="0" w:type="dxa"/>
            <w:left w:w="108" w:type="dxa"/>
            <w:bottom w:w="0" w:type="dxa"/>
            <w:right w:w="108" w:type="dxa"/>
          </w:tblCellMar>
        </w:tblPrEx>
        <w:trPr>
          <w:trHeight w:val="288" w:hRule="atLeast"/>
          <w:jc w:val="center"/>
        </w:trPr>
        <w:tc>
          <w:tcPr>
            <w:tcW w:w="2202" w:type="pct"/>
            <w:tcBorders>
              <w:top w:val="single" w:color="000000" w:sz="4" w:space="0"/>
              <w:left w:val="single" w:color="000000" w:sz="4" w:space="0"/>
              <w:bottom w:val="single" w:color="000000" w:sz="4" w:space="0"/>
              <w:right w:val="single" w:color="000000" w:sz="4" w:space="0"/>
            </w:tcBorders>
            <w:noWrap/>
            <w:vAlign w:val="center"/>
          </w:tcPr>
          <w:p w14:paraId="6506F2A9">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S242省道及赣马镇1</w:t>
            </w:r>
          </w:p>
        </w:tc>
        <w:tc>
          <w:tcPr>
            <w:tcW w:w="1446" w:type="pct"/>
            <w:tcBorders>
              <w:top w:val="single" w:color="000000" w:sz="4" w:space="0"/>
              <w:left w:val="single" w:color="000000" w:sz="4" w:space="0"/>
              <w:bottom w:val="single" w:color="000000" w:sz="4" w:space="0"/>
              <w:right w:val="single" w:color="000000" w:sz="4" w:space="0"/>
            </w:tcBorders>
            <w:noWrap/>
            <w:vAlign w:val="center"/>
          </w:tcPr>
          <w:p w14:paraId="56981E5A">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119.089964</w:t>
            </w:r>
          </w:p>
        </w:tc>
        <w:tc>
          <w:tcPr>
            <w:tcW w:w="1351" w:type="pct"/>
            <w:tcBorders>
              <w:top w:val="single" w:color="000000" w:sz="4" w:space="0"/>
              <w:left w:val="single" w:color="000000" w:sz="4" w:space="0"/>
              <w:bottom w:val="single" w:color="000000" w:sz="4" w:space="0"/>
              <w:right w:val="single" w:color="000000" w:sz="4" w:space="0"/>
            </w:tcBorders>
            <w:noWrap/>
            <w:vAlign w:val="center"/>
          </w:tcPr>
          <w:p w14:paraId="24D13E2F">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34.875569</w:t>
            </w:r>
          </w:p>
        </w:tc>
      </w:tr>
      <w:tr w14:paraId="426D5BC7">
        <w:tblPrEx>
          <w:tblCellMar>
            <w:top w:w="0" w:type="dxa"/>
            <w:left w:w="108" w:type="dxa"/>
            <w:bottom w:w="0" w:type="dxa"/>
            <w:right w:w="108" w:type="dxa"/>
          </w:tblCellMar>
        </w:tblPrEx>
        <w:trPr>
          <w:trHeight w:val="288" w:hRule="atLeast"/>
          <w:jc w:val="center"/>
        </w:trPr>
        <w:tc>
          <w:tcPr>
            <w:tcW w:w="2202" w:type="pct"/>
            <w:tcBorders>
              <w:top w:val="single" w:color="000000" w:sz="4" w:space="0"/>
              <w:left w:val="single" w:color="000000" w:sz="4" w:space="0"/>
              <w:bottom w:val="single" w:color="000000" w:sz="4" w:space="0"/>
              <w:right w:val="single" w:color="000000" w:sz="4" w:space="0"/>
            </w:tcBorders>
            <w:noWrap/>
            <w:vAlign w:val="center"/>
          </w:tcPr>
          <w:p w14:paraId="0912530A">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青口河和古河套村</w:t>
            </w:r>
          </w:p>
        </w:tc>
        <w:tc>
          <w:tcPr>
            <w:tcW w:w="1446" w:type="pct"/>
            <w:tcBorders>
              <w:top w:val="single" w:color="000000" w:sz="4" w:space="0"/>
              <w:left w:val="single" w:color="000000" w:sz="4" w:space="0"/>
              <w:bottom w:val="single" w:color="000000" w:sz="4" w:space="0"/>
              <w:right w:val="single" w:color="000000" w:sz="4" w:space="0"/>
            </w:tcBorders>
            <w:noWrap/>
            <w:vAlign w:val="center"/>
          </w:tcPr>
          <w:p w14:paraId="1F0856BD">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119.070833</w:t>
            </w:r>
          </w:p>
        </w:tc>
        <w:tc>
          <w:tcPr>
            <w:tcW w:w="1351" w:type="pct"/>
            <w:tcBorders>
              <w:top w:val="single" w:color="000000" w:sz="4" w:space="0"/>
              <w:left w:val="single" w:color="000000" w:sz="4" w:space="0"/>
              <w:bottom w:val="single" w:color="000000" w:sz="4" w:space="0"/>
              <w:right w:val="single" w:color="000000" w:sz="4" w:space="0"/>
            </w:tcBorders>
            <w:noWrap/>
            <w:vAlign w:val="center"/>
          </w:tcPr>
          <w:p w14:paraId="1DF45BAA">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34.858056</w:t>
            </w:r>
          </w:p>
        </w:tc>
      </w:tr>
      <w:tr w14:paraId="7AC68DC4">
        <w:tblPrEx>
          <w:tblCellMar>
            <w:top w:w="0" w:type="dxa"/>
            <w:left w:w="108" w:type="dxa"/>
            <w:bottom w:w="0" w:type="dxa"/>
            <w:right w:w="108" w:type="dxa"/>
          </w:tblCellMar>
        </w:tblPrEx>
        <w:trPr>
          <w:trHeight w:val="288" w:hRule="atLeast"/>
          <w:jc w:val="center"/>
        </w:trPr>
        <w:tc>
          <w:tcPr>
            <w:tcW w:w="2202" w:type="pct"/>
            <w:tcBorders>
              <w:top w:val="single" w:color="000000" w:sz="4" w:space="0"/>
              <w:left w:val="single" w:color="000000" w:sz="4" w:space="0"/>
              <w:bottom w:val="single" w:color="000000" w:sz="4" w:space="0"/>
              <w:right w:val="single" w:color="000000" w:sz="4" w:space="0"/>
            </w:tcBorders>
            <w:noWrap/>
            <w:vAlign w:val="center"/>
          </w:tcPr>
          <w:p w14:paraId="7866C505">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范河</w:t>
            </w:r>
          </w:p>
        </w:tc>
        <w:tc>
          <w:tcPr>
            <w:tcW w:w="1446" w:type="pct"/>
            <w:tcBorders>
              <w:top w:val="single" w:color="000000" w:sz="4" w:space="0"/>
              <w:left w:val="single" w:color="000000" w:sz="4" w:space="0"/>
              <w:bottom w:val="single" w:color="000000" w:sz="4" w:space="0"/>
              <w:right w:val="single" w:color="000000" w:sz="4" w:space="0"/>
            </w:tcBorders>
            <w:noWrap/>
            <w:vAlign w:val="center"/>
          </w:tcPr>
          <w:p w14:paraId="19A147F4">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119.038331</w:t>
            </w:r>
          </w:p>
        </w:tc>
        <w:tc>
          <w:tcPr>
            <w:tcW w:w="1351" w:type="pct"/>
            <w:tcBorders>
              <w:top w:val="single" w:color="000000" w:sz="4" w:space="0"/>
              <w:left w:val="single" w:color="000000" w:sz="4" w:space="0"/>
              <w:bottom w:val="single" w:color="000000" w:sz="4" w:space="0"/>
              <w:right w:val="single" w:color="000000" w:sz="4" w:space="0"/>
            </w:tcBorders>
            <w:noWrap/>
            <w:vAlign w:val="center"/>
          </w:tcPr>
          <w:p w14:paraId="5B522E49">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34.768921</w:t>
            </w:r>
          </w:p>
        </w:tc>
      </w:tr>
      <w:tr w14:paraId="24451EC0">
        <w:tblPrEx>
          <w:tblCellMar>
            <w:top w:w="0" w:type="dxa"/>
            <w:left w:w="108" w:type="dxa"/>
            <w:bottom w:w="0" w:type="dxa"/>
            <w:right w:w="108" w:type="dxa"/>
          </w:tblCellMar>
        </w:tblPrEx>
        <w:trPr>
          <w:trHeight w:val="288" w:hRule="atLeast"/>
          <w:jc w:val="center"/>
        </w:trPr>
        <w:tc>
          <w:tcPr>
            <w:tcW w:w="2202" w:type="pct"/>
            <w:tcBorders>
              <w:top w:val="single" w:color="000000" w:sz="4" w:space="0"/>
              <w:left w:val="single" w:color="000000" w:sz="4" w:space="0"/>
              <w:bottom w:val="single" w:color="000000" w:sz="4" w:space="0"/>
              <w:right w:val="single" w:color="000000" w:sz="4" w:space="0"/>
            </w:tcBorders>
            <w:noWrap/>
            <w:vAlign w:val="center"/>
          </w:tcPr>
          <w:p w14:paraId="2E39A3F2">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演马四村及芦河小学</w:t>
            </w:r>
          </w:p>
        </w:tc>
        <w:tc>
          <w:tcPr>
            <w:tcW w:w="1446" w:type="pct"/>
            <w:tcBorders>
              <w:top w:val="single" w:color="000000" w:sz="4" w:space="0"/>
              <w:left w:val="single" w:color="000000" w:sz="4" w:space="0"/>
              <w:bottom w:val="single" w:color="000000" w:sz="4" w:space="0"/>
              <w:right w:val="single" w:color="000000" w:sz="4" w:space="0"/>
            </w:tcBorders>
            <w:noWrap/>
            <w:vAlign w:val="center"/>
          </w:tcPr>
          <w:p w14:paraId="74534B9C">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119.030761</w:t>
            </w:r>
          </w:p>
        </w:tc>
        <w:tc>
          <w:tcPr>
            <w:tcW w:w="1351" w:type="pct"/>
            <w:tcBorders>
              <w:top w:val="single" w:color="000000" w:sz="4" w:space="0"/>
              <w:left w:val="single" w:color="000000" w:sz="4" w:space="0"/>
              <w:bottom w:val="single" w:color="000000" w:sz="4" w:space="0"/>
              <w:right w:val="single" w:color="000000" w:sz="4" w:space="0"/>
            </w:tcBorders>
            <w:noWrap/>
            <w:vAlign w:val="center"/>
          </w:tcPr>
          <w:p w14:paraId="3A889190">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34.736913</w:t>
            </w:r>
          </w:p>
        </w:tc>
      </w:tr>
      <w:tr w14:paraId="69348C3F">
        <w:tblPrEx>
          <w:tblCellMar>
            <w:top w:w="0" w:type="dxa"/>
            <w:left w:w="108" w:type="dxa"/>
            <w:bottom w:w="0" w:type="dxa"/>
            <w:right w:w="108" w:type="dxa"/>
          </w:tblCellMar>
        </w:tblPrEx>
        <w:trPr>
          <w:trHeight w:val="288" w:hRule="atLeast"/>
          <w:jc w:val="center"/>
        </w:trPr>
        <w:tc>
          <w:tcPr>
            <w:tcW w:w="2202" w:type="pct"/>
            <w:tcBorders>
              <w:top w:val="single" w:color="000000" w:sz="4" w:space="0"/>
              <w:left w:val="single" w:color="000000" w:sz="4" w:space="0"/>
              <w:bottom w:val="single" w:color="000000" w:sz="4" w:space="0"/>
              <w:right w:val="single" w:color="000000" w:sz="4" w:space="0"/>
            </w:tcBorders>
            <w:noWrap/>
            <w:vAlign w:val="center"/>
          </w:tcPr>
          <w:p w14:paraId="0AB972A3">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S323省道</w:t>
            </w:r>
          </w:p>
        </w:tc>
        <w:tc>
          <w:tcPr>
            <w:tcW w:w="1446" w:type="pct"/>
            <w:tcBorders>
              <w:top w:val="single" w:color="000000" w:sz="4" w:space="0"/>
              <w:left w:val="single" w:color="000000" w:sz="4" w:space="0"/>
              <w:bottom w:val="single" w:color="000000" w:sz="4" w:space="0"/>
              <w:right w:val="single" w:color="000000" w:sz="4" w:space="0"/>
            </w:tcBorders>
            <w:noWrap/>
            <w:vAlign w:val="center"/>
          </w:tcPr>
          <w:p w14:paraId="076F8440">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118.979846</w:t>
            </w:r>
          </w:p>
        </w:tc>
        <w:tc>
          <w:tcPr>
            <w:tcW w:w="1351" w:type="pct"/>
            <w:tcBorders>
              <w:top w:val="single" w:color="000000" w:sz="4" w:space="0"/>
              <w:left w:val="single" w:color="000000" w:sz="4" w:space="0"/>
              <w:bottom w:val="single" w:color="000000" w:sz="4" w:space="0"/>
              <w:right w:val="single" w:color="000000" w:sz="4" w:space="0"/>
            </w:tcBorders>
            <w:noWrap/>
            <w:vAlign w:val="center"/>
          </w:tcPr>
          <w:p w14:paraId="5C314518">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34.575271</w:t>
            </w:r>
          </w:p>
        </w:tc>
      </w:tr>
      <w:tr w14:paraId="4763D63F">
        <w:tblPrEx>
          <w:tblCellMar>
            <w:top w:w="0" w:type="dxa"/>
            <w:left w:w="108" w:type="dxa"/>
            <w:bottom w:w="0" w:type="dxa"/>
            <w:right w:w="108" w:type="dxa"/>
          </w:tblCellMar>
        </w:tblPrEx>
        <w:trPr>
          <w:trHeight w:val="288" w:hRule="atLeast"/>
          <w:jc w:val="center"/>
        </w:trPr>
        <w:tc>
          <w:tcPr>
            <w:tcW w:w="2202" w:type="pct"/>
            <w:tcBorders>
              <w:top w:val="single" w:color="000000" w:sz="4" w:space="0"/>
              <w:left w:val="single" w:color="000000" w:sz="4" w:space="0"/>
              <w:bottom w:val="single" w:color="000000" w:sz="4" w:space="0"/>
              <w:right w:val="single" w:color="000000" w:sz="4" w:space="0"/>
            </w:tcBorders>
            <w:noWrap/>
            <w:vAlign w:val="center"/>
          </w:tcPr>
          <w:p w14:paraId="1FF5479F">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ZYGD-011</w:t>
            </w:r>
          </w:p>
        </w:tc>
        <w:tc>
          <w:tcPr>
            <w:tcW w:w="1446" w:type="pct"/>
            <w:tcBorders>
              <w:top w:val="single" w:color="000000" w:sz="4" w:space="0"/>
              <w:left w:val="single" w:color="000000" w:sz="4" w:space="0"/>
              <w:bottom w:val="single" w:color="000000" w:sz="4" w:space="0"/>
              <w:right w:val="single" w:color="000000" w:sz="4" w:space="0"/>
            </w:tcBorders>
            <w:noWrap/>
            <w:vAlign w:val="center"/>
          </w:tcPr>
          <w:p w14:paraId="1FC96678">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119.104001</w:t>
            </w:r>
          </w:p>
        </w:tc>
        <w:tc>
          <w:tcPr>
            <w:tcW w:w="1351" w:type="pct"/>
            <w:tcBorders>
              <w:top w:val="single" w:color="000000" w:sz="4" w:space="0"/>
              <w:left w:val="single" w:color="000000" w:sz="4" w:space="0"/>
              <w:bottom w:val="single" w:color="000000" w:sz="4" w:space="0"/>
              <w:right w:val="single" w:color="000000" w:sz="4" w:space="0"/>
            </w:tcBorders>
            <w:noWrap/>
            <w:vAlign w:val="center"/>
          </w:tcPr>
          <w:p w14:paraId="0C6CDCEB">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34.797001</w:t>
            </w:r>
          </w:p>
        </w:tc>
      </w:tr>
      <w:tr w14:paraId="7EE149E7">
        <w:tblPrEx>
          <w:tblCellMar>
            <w:top w:w="0" w:type="dxa"/>
            <w:left w:w="108" w:type="dxa"/>
            <w:bottom w:w="0" w:type="dxa"/>
            <w:right w:w="108" w:type="dxa"/>
          </w:tblCellMar>
        </w:tblPrEx>
        <w:trPr>
          <w:trHeight w:val="288" w:hRule="atLeast"/>
          <w:jc w:val="center"/>
        </w:trPr>
        <w:tc>
          <w:tcPr>
            <w:tcW w:w="2202" w:type="pct"/>
            <w:tcBorders>
              <w:top w:val="single" w:color="000000" w:sz="4" w:space="0"/>
              <w:left w:val="single" w:color="000000" w:sz="4" w:space="0"/>
              <w:bottom w:val="single" w:color="000000" w:sz="4" w:space="0"/>
              <w:right w:val="single" w:color="000000" w:sz="4" w:space="0"/>
            </w:tcBorders>
            <w:noWrap/>
            <w:vAlign w:val="center"/>
          </w:tcPr>
          <w:p w14:paraId="5C1F1589">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ZYGD-010</w:t>
            </w:r>
          </w:p>
        </w:tc>
        <w:tc>
          <w:tcPr>
            <w:tcW w:w="1446" w:type="pct"/>
            <w:tcBorders>
              <w:top w:val="single" w:color="000000" w:sz="4" w:space="0"/>
              <w:left w:val="single" w:color="000000" w:sz="4" w:space="0"/>
              <w:bottom w:val="single" w:color="000000" w:sz="4" w:space="0"/>
              <w:right w:val="single" w:color="000000" w:sz="4" w:space="0"/>
            </w:tcBorders>
            <w:noWrap/>
            <w:vAlign w:val="center"/>
          </w:tcPr>
          <w:p w14:paraId="2F8A2321">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119.098888</w:t>
            </w:r>
          </w:p>
        </w:tc>
        <w:tc>
          <w:tcPr>
            <w:tcW w:w="1351" w:type="pct"/>
            <w:tcBorders>
              <w:top w:val="single" w:color="000000" w:sz="4" w:space="0"/>
              <w:left w:val="single" w:color="000000" w:sz="4" w:space="0"/>
              <w:bottom w:val="single" w:color="000000" w:sz="4" w:space="0"/>
              <w:right w:val="single" w:color="000000" w:sz="4" w:space="0"/>
            </w:tcBorders>
            <w:noWrap/>
            <w:vAlign w:val="center"/>
          </w:tcPr>
          <w:p w14:paraId="61727437">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34.769167</w:t>
            </w:r>
          </w:p>
        </w:tc>
      </w:tr>
      <w:tr w14:paraId="2332A073">
        <w:tblPrEx>
          <w:tblCellMar>
            <w:top w:w="0" w:type="dxa"/>
            <w:left w:w="108" w:type="dxa"/>
            <w:bottom w:w="0" w:type="dxa"/>
            <w:right w:w="108" w:type="dxa"/>
          </w:tblCellMar>
        </w:tblPrEx>
        <w:trPr>
          <w:trHeight w:val="288" w:hRule="atLeast"/>
          <w:jc w:val="center"/>
        </w:trPr>
        <w:tc>
          <w:tcPr>
            <w:tcW w:w="2202" w:type="pct"/>
            <w:tcBorders>
              <w:top w:val="single" w:color="000000" w:sz="4" w:space="0"/>
              <w:left w:val="single" w:color="000000" w:sz="4" w:space="0"/>
              <w:bottom w:val="single" w:color="000000" w:sz="4" w:space="0"/>
              <w:right w:val="single" w:color="000000" w:sz="4" w:space="0"/>
            </w:tcBorders>
            <w:noWrap/>
            <w:vAlign w:val="center"/>
          </w:tcPr>
          <w:p w14:paraId="23DD20A6">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刘滩村东</w:t>
            </w:r>
          </w:p>
        </w:tc>
        <w:tc>
          <w:tcPr>
            <w:tcW w:w="1446" w:type="pct"/>
            <w:tcBorders>
              <w:top w:val="single" w:color="000000" w:sz="4" w:space="0"/>
              <w:left w:val="single" w:color="000000" w:sz="4" w:space="0"/>
              <w:bottom w:val="single" w:color="000000" w:sz="4" w:space="0"/>
              <w:right w:val="single" w:color="000000" w:sz="4" w:space="0"/>
            </w:tcBorders>
            <w:noWrap/>
            <w:vAlign w:val="center"/>
          </w:tcPr>
          <w:p w14:paraId="753A5259">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119.103506</w:t>
            </w:r>
          </w:p>
        </w:tc>
        <w:tc>
          <w:tcPr>
            <w:tcW w:w="1351" w:type="pct"/>
            <w:tcBorders>
              <w:top w:val="single" w:color="000000" w:sz="4" w:space="0"/>
              <w:left w:val="single" w:color="000000" w:sz="4" w:space="0"/>
              <w:bottom w:val="single" w:color="000000" w:sz="4" w:space="0"/>
              <w:right w:val="single" w:color="000000" w:sz="4" w:space="0"/>
            </w:tcBorders>
            <w:noWrap/>
            <w:vAlign w:val="center"/>
          </w:tcPr>
          <w:p w14:paraId="59761C90">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34.662108</w:t>
            </w:r>
          </w:p>
        </w:tc>
      </w:tr>
      <w:tr w14:paraId="65D08488">
        <w:tblPrEx>
          <w:tblCellMar>
            <w:top w:w="0" w:type="dxa"/>
            <w:left w:w="108" w:type="dxa"/>
            <w:bottom w:w="0" w:type="dxa"/>
            <w:right w:w="108" w:type="dxa"/>
          </w:tblCellMar>
        </w:tblPrEx>
        <w:trPr>
          <w:trHeight w:val="288" w:hRule="atLeast"/>
          <w:jc w:val="center"/>
        </w:trPr>
        <w:tc>
          <w:tcPr>
            <w:tcW w:w="2202" w:type="pct"/>
            <w:tcBorders>
              <w:top w:val="single" w:color="000000" w:sz="4" w:space="0"/>
              <w:left w:val="single" w:color="000000" w:sz="4" w:space="0"/>
              <w:bottom w:val="single" w:color="000000" w:sz="4" w:space="0"/>
              <w:right w:val="single" w:color="000000" w:sz="4" w:space="0"/>
            </w:tcBorders>
            <w:noWrap/>
            <w:vAlign w:val="center"/>
          </w:tcPr>
          <w:p w14:paraId="684210F9">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浦南镇龙埔村</w:t>
            </w:r>
          </w:p>
        </w:tc>
        <w:tc>
          <w:tcPr>
            <w:tcW w:w="1446" w:type="pct"/>
            <w:tcBorders>
              <w:top w:val="single" w:color="000000" w:sz="4" w:space="0"/>
              <w:left w:val="single" w:color="000000" w:sz="4" w:space="0"/>
              <w:bottom w:val="single" w:color="000000" w:sz="4" w:space="0"/>
              <w:right w:val="single" w:color="000000" w:sz="4" w:space="0"/>
            </w:tcBorders>
            <w:noWrap/>
            <w:vAlign w:val="center"/>
          </w:tcPr>
          <w:p w14:paraId="49921F4F">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119.061304</w:t>
            </w:r>
          </w:p>
        </w:tc>
        <w:tc>
          <w:tcPr>
            <w:tcW w:w="1351" w:type="pct"/>
            <w:tcBorders>
              <w:top w:val="single" w:color="000000" w:sz="4" w:space="0"/>
              <w:left w:val="single" w:color="000000" w:sz="4" w:space="0"/>
              <w:bottom w:val="single" w:color="000000" w:sz="4" w:space="0"/>
              <w:right w:val="single" w:color="000000" w:sz="4" w:space="0"/>
            </w:tcBorders>
            <w:noWrap/>
            <w:vAlign w:val="center"/>
          </w:tcPr>
          <w:p w14:paraId="05C80766">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34.64634</w:t>
            </w:r>
          </w:p>
        </w:tc>
      </w:tr>
      <w:tr w14:paraId="11F905F9">
        <w:tblPrEx>
          <w:tblCellMar>
            <w:top w:w="0" w:type="dxa"/>
            <w:left w:w="108" w:type="dxa"/>
            <w:bottom w:w="0" w:type="dxa"/>
            <w:right w:w="108" w:type="dxa"/>
          </w:tblCellMar>
        </w:tblPrEx>
        <w:trPr>
          <w:trHeight w:val="288" w:hRule="atLeast"/>
          <w:jc w:val="center"/>
        </w:trPr>
        <w:tc>
          <w:tcPr>
            <w:tcW w:w="2202" w:type="pct"/>
            <w:tcBorders>
              <w:top w:val="single" w:color="000000" w:sz="4" w:space="0"/>
              <w:left w:val="single" w:color="000000" w:sz="4" w:space="0"/>
              <w:bottom w:val="single" w:color="000000" w:sz="4" w:space="0"/>
              <w:right w:val="single" w:color="000000" w:sz="4" w:space="0"/>
            </w:tcBorders>
            <w:noWrap/>
            <w:vAlign w:val="center"/>
          </w:tcPr>
          <w:p w14:paraId="0B794341">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范埠村4-球机</w:t>
            </w:r>
          </w:p>
        </w:tc>
        <w:tc>
          <w:tcPr>
            <w:tcW w:w="1446" w:type="pct"/>
            <w:tcBorders>
              <w:top w:val="single" w:color="000000" w:sz="4" w:space="0"/>
              <w:left w:val="single" w:color="000000" w:sz="4" w:space="0"/>
              <w:bottom w:val="single" w:color="000000" w:sz="4" w:space="0"/>
              <w:right w:val="single" w:color="000000" w:sz="4" w:space="0"/>
            </w:tcBorders>
            <w:noWrap/>
            <w:vAlign w:val="center"/>
          </w:tcPr>
          <w:p w14:paraId="4615D307">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118.822984</w:t>
            </w:r>
          </w:p>
        </w:tc>
        <w:tc>
          <w:tcPr>
            <w:tcW w:w="1351" w:type="pct"/>
            <w:tcBorders>
              <w:top w:val="single" w:color="000000" w:sz="4" w:space="0"/>
              <w:left w:val="single" w:color="000000" w:sz="4" w:space="0"/>
              <w:bottom w:val="single" w:color="000000" w:sz="4" w:space="0"/>
              <w:right w:val="single" w:color="000000" w:sz="4" w:space="0"/>
            </w:tcBorders>
            <w:noWrap/>
            <w:vAlign w:val="center"/>
          </w:tcPr>
          <w:p w14:paraId="4E4D9925">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34.555495</w:t>
            </w:r>
          </w:p>
        </w:tc>
      </w:tr>
      <w:tr w14:paraId="304ED90B">
        <w:tblPrEx>
          <w:tblCellMar>
            <w:top w:w="0" w:type="dxa"/>
            <w:left w:w="108" w:type="dxa"/>
            <w:bottom w:w="0" w:type="dxa"/>
            <w:right w:w="108" w:type="dxa"/>
          </w:tblCellMar>
        </w:tblPrEx>
        <w:trPr>
          <w:trHeight w:val="288" w:hRule="atLeast"/>
          <w:jc w:val="center"/>
        </w:trPr>
        <w:tc>
          <w:tcPr>
            <w:tcW w:w="2202" w:type="pct"/>
            <w:tcBorders>
              <w:top w:val="single" w:color="000000" w:sz="4" w:space="0"/>
              <w:left w:val="single" w:color="000000" w:sz="4" w:space="0"/>
              <w:bottom w:val="single" w:color="000000" w:sz="4" w:space="0"/>
              <w:right w:val="single" w:color="000000" w:sz="4" w:space="0"/>
            </w:tcBorders>
            <w:noWrap/>
            <w:vAlign w:val="center"/>
          </w:tcPr>
          <w:p w14:paraId="1966D9A8">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范埠村1-球机</w:t>
            </w:r>
          </w:p>
        </w:tc>
        <w:tc>
          <w:tcPr>
            <w:tcW w:w="1446" w:type="pct"/>
            <w:tcBorders>
              <w:top w:val="single" w:color="000000" w:sz="4" w:space="0"/>
              <w:left w:val="single" w:color="000000" w:sz="4" w:space="0"/>
              <w:bottom w:val="single" w:color="000000" w:sz="4" w:space="0"/>
              <w:right w:val="single" w:color="000000" w:sz="4" w:space="0"/>
            </w:tcBorders>
            <w:noWrap/>
            <w:vAlign w:val="center"/>
          </w:tcPr>
          <w:p w14:paraId="19B8BE5A">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118.813203</w:t>
            </w:r>
          </w:p>
        </w:tc>
        <w:tc>
          <w:tcPr>
            <w:tcW w:w="1351" w:type="pct"/>
            <w:tcBorders>
              <w:top w:val="single" w:color="000000" w:sz="4" w:space="0"/>
              <w:left w:val="single" w:color="000000" w:sz="4" w:space="0"/>
              <w:bottom w:val="single" w:color="000000" w:sz="4" w:space="0"/>
              <w:right w:val="single" w:color="000000" w:sz="4" w:space="0"/>
            </w:tcBorders>
            <w:noWrap/>
            <w:vAlign w:val="center"/>
          </w:tcPr>
          <w:p w14:paraId="5F6B3EA3">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34.536138</w:t>
            </w:r>
          </w:p>
        </w:tc>
      </w:tr>
      <w:tr w14:paraId="6270F42A">
        <w:tblPrEx>
          <w:tblCellMar>
            <w:top w:w="0" w:type="dxa"/>
            <w:left w:w="108" w:type="dxa"/>
            <w:bottom w:w="0" w:type="dxa"/>
            <w:right w:w="108" w:type="dxa"/>
          </w:tblCellMar>
        </w:tblPrEx>
        <w:trPr>
          <w:trHeight w:val="288" w:hRule="atLeast"/>
          <w:jc w:val="center"/>
        </w:trPr>
        <w:tc>
          <w:tcPr>
            <w:tcW w:w="2202" w:type="pct"/>
            <w:tcBorders>
              <w:top w:val="single" w:color="000000" w:sz="4" w:space="0"/>
              <w:left w:val="single" w:color="000000" w:sz="4" w:space="0"/>
              <w:bottom w:val="single" w:color="000000" w:sz="4" w:space="0"/>
              <w:right w:val="single" w:color="000000" w:sz="4" w:space="0"/>
            </w:tcBorders>
            <w:noWrap/>
            <w:vAlign w:val="center"/>
          </w:tcPr>
          <w:p w14:paraId="5BE94F10">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新海小区-球机</w:t>
            </w:r>
          </w:p>
        </w:tc>
        <w:tc>
          <w:tcPr>
            <w:tcW w:w="1446" w:type="pct"/>
            <w:tcBorders>
              <w:top w:val="single" w:color="000000" w:sz="4" w:space="0"/>
              <w:left w:val="single" w:color="000000" w:sz="4" w:space="0"/>
              <w:bottom w:val="single" w:color="000000" w:sz="4" w:space="0"/>
              <w:right w:val="single" w:color="000000" w:sz="4" w:space="0"/>
            </w:tcBorders>
            <w:noWrap/>
            <w:vAlign w:val="center"/>
          </w:tcPr>
          <w:p w14:paraId="208B1160">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119.112358</w:t>
            </w:r>
          </w:p>
        </w:tc>
        <w:tc>
          <w:tcPr>
            <w:tcW w:w="1351" w:type="pct"/>
            <w:tcBorders>
              <w:top w:val="single" w:color="000000" w:sz="4" w:space="0"/>
              <w:left w:val="single" w:color="000000" w:sz="4" w:space="0"/>
              <w:bottom w:val="single" w:color="000000" w:sz="4" w:space="0"/>
              <w:right w:val="single" w:color="000000" w:sz="4" w:space="0"/>
            </w:tcBorders>
            <w:noWrap/>
            <w:vAlign w:val="center"/>
          </w:tcPr>
          <w:p w14:paraId="12264D52">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34.501823</w:t>
            </w:r>
          </w:p>
        </w:tc>
      </w:tr>
      <w:tr w14:paraId="028B29E3">
        <w:tblPrEx>
          <w:tblCellMar>
            <w:top w:w="0" w:type="dxa"/>
            <w:left w:w="108" w:type="dxa"/>
            <w:bottom w:w="0" w:type="dxa"/>
            <w:right w:w="108" w:type="dxa"/>
          </w:tblCellMar>
        </w:tblPrEx>
        <w:trPr>
          <w:trHeight w:val="288" w:hRule="atLeast"/>
          <w:jc w:val="center"/>
        </w:trPr>
        <w:tc>
          <w:tcPr>
            <w:tcW w:w="2202" w:type="pct"/>
            <w:tcBorders>
              <w:top w:val="single" w:color="000000" w:sz="4" w:space="0"/>
              <w:left w:val="single" w:color="000000" w:sz="4" w:space="0"/>
              <w:bottom w:val="single" w:color="000000" w:sz="4" w:space="0"/>
              <w:right w:val="single" w:color="000000" w:sz="4" w:space="0"/>
            </w:tcBorders>
            <w:noWrap/>
            <w:vAlign w:val="center"/>
          </w:tcPr>
          <w:p w14:paraId="2253E400">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朱胥村</w:t>
            </w:r>
          </w:p>
        </w:tc>
        <w:tc>
          <w:tcPr>
            <w:tcW w:w="1446" w:type="pct"/>
            <w:tcBorders>
              <w:top w:val="single" w:color="000000" w:sz="4" w:space="0"/>
              <w:left w:val="single" w:color="000000" w:sz="4" w:space="0"/>
              <w:bottom w:val="single" w:color="000000" w:sz="4" w:space="0"/>
              <w:right w:val="single" w:color="000000" w:sz="4" w:space="0"/>
            </w:tcBorders>
            <w:noWrap/>
            <w:vAlign w:val="center"/>
          </w:tcPr>
          <w:p w14:paraId="075E8754">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119.191911</w:t>
            </w:r>
          </w:p>
        </w:tc>
        <w:tc>
          <w:tcPr>
            <w:tcW w:w="1351" w:type="pct"/>
            <w:tcBorders>
              <w:top w:val="single" w:color="000000" w:sz="4" w:space="0"/>
              <w:left w:val="single" w:color="000000" w:sz="4" w:space="0"/>
              <w:bottom w:val="single" w:color="000000" w:sz="4" w:space="0"/>
              <w:right w:val="single" w:color="000000" w:sz="4" w:space="0"/>
            </w:tcBorders>
            <w:noWrap/>
            <w:vAlign w:val="center"/>
          </w:tcPr>
          <w:p w14:paraId="507A6540">
            <w:pPr>
              <w:spacing w:line="360" w:lineRule="auto"/>
              <w:ind w:firstLine="420"/>
              <w:jc w:val="center"/>
              <w:rPr>
                <w:rFonts w:hint="eastAsia" w:ascii="宋体" w:hAnsi="宋体" w:eastAsia="宋体" w:cs="仿宋_GB2312"/>
                <w:bCs/>
                <w:sz w:val="24"/>
              </w:rPr>
            </w:pPr>
            <w:r>
              <w:rPr>
                <w:rFonts w:ascii="宋体" w:hAnsi="宋体" w:eastAsia="宋体" w:cs="仿宋_GB2312"/>
                <w:bCs/>
                <w:sz w:val="24"/>
              </w:rPr>
              <w:t>34.264751</w:t>
            </w:r>
          </w:p>
        </w:tc>
      </w:tr>
      <w:tr w14:paraId="59CC5B25">
        <w:tblPrEx>
          <w:tblCellMar>
            <w:top w:w="0" w:type="dxa"/>
            <w:left w:w="108" w:type="dxa"/>
            <w:bottom w:w="0" w:type="dxa"/>
            <w:right w:w="108" w:type="dxa"/>
          </w:tblCellMar>
        </w:tblPrEx>
        <w:trPr>
          <w:trHeight w:val="288" w:hRule="atLeast"/>
          <w:jc w:val="center"/>
        </w:trPr>
        <w:tc>
          <w:tcPr>
            <w:tcW w:w="2202" w:type="pct"/>
            <w:tcBorders>
              <w:top w:val="single" w:color="000000" w:sz="4" w:space="0"/>
              <w:left w:val="single" w:color="000000" w:sz="4" w:space="0"/>
              <w:bottom w:val="single" w:color="000000" w:sz="4" w:space="0"/>
              <w:right w:val="single" w:color="000000" w:sz="4" w:space="0"/>
            </w:tcBorders>
            <w:noWrap/>
            <w:vAlign w:val="center"/>
          </w:tcPr>
          <w:p w14:paraId="2FD29094">
            <w:pPr>
              <w:spacing w:line="360" w:lineRule="auto"/>
              <w:ind w:firstLine="420"/>
              <w:jc w:val="center"/>
              <w:rPr>
                <w:rFonts w:hint="eastAsia" w:ascii="宋体" w:hAnsi="宋体" w:eastAsia="宋体" w:cs="仿宋_GB2312"/>
                <w:bCs/>
                <w:sz w:val="24"/>
              </w:rPr>
            </w:pPr>
            <w:r>
              <w:rPr>
                <w:rFonts w:hint="eastAsia" w:ascii="宋体" w:hAnsi="宋体" w:eastAsia="宋体" w:cs="仿宋_GB2312"/>
                <w:bCs/>
                <w:sz w:val="24"/>
              </w:rPr>
              <w:t>沈海高速及高铁取土坑-球机</w:t>
            </w:r>
          </w:p>
        </w:tc>
        <w:tc>
          <w:tcPr>
            <w:tcW w:w="1446" w:type="pct"/>
            <w:tcBorders>
              <w:top w:val="single" w:color="000000" w:sz="4" w:space="0"/>
              <w:left w:val="single" w:color="000000" w:sz="4" w:space="0"/>
              <w:bottom w:val="single" w:color="000000" w:sz="4" w:space="0"/>
              <w:right w:val="single" w:color="000000" w:sz="4" w:space="0"/>
            </w:tcBorders>
            <w:noWrap/>
            <w:vAlign w:val="center"/>
          </w:tcPr>
          <w:p w14:paraId="3C015090">
            <w:pPr>
              <w:spacing w:line="360" w:lineRule="auto"/>
              <w:ind w:firstLine="420"/>
              <w:jc w:val="center"/>
              <w:rPr>
                <w:rFonts w:hint="eastAsia" w:ascii="宋体" w:hAnsi="宋体" w:eastAsia="宋体" w:cs="仿宋_GB2312"/>
                <w:bCs/>
                <w:sz w:val="24"/>
              </w:rPr>
            </w:pPr>
            <w:r>
              <w:rPr>
                <w:rFonts w:hint="eastAsia" w:ascii="宋体" w:hAnsi="宋体" w:eastAsia="宋体" w:cs="仿宋_GB2312"/>
                <w:bCs/>
                <w:sz w:val="24"/>
              </w:rPr>
              <w:t>119.181131</w:t>
            </w:r>
          </w:p>
        </w:tc>
        <w:tc>
          <w:tcPr>
            <w:tcW w:w="1351" w:type="pct"/>
            <w:tcBorders>
              <w:top w:val="single" w:color="000000" w:sz="4" w:space="0"/>
              <w:left w:val="single" w:color="000000" w:sz="4" w:space="0"/>
              <w:bottom w:val="single" w:color="000000" w:sz="4" w:space="0"/>
              <w:right w:val="single" w:color="000000" w:sz="4" w:space="0"/>
            </w:tcBorders>
            <w:noWrap/>
            <w:vAlign w:val="center"/>
          </w:tcPr>
          <w:p w14:paraId="197C8A25">
            <w:pPr>
              <w:spacing w:line="360" w:lineRule="auto"/>
              <w:ind w:firstLine="420"/>
              <w:jc w:val="center"/>
              <w:rPr>
                <w:rFonts w:hint="eastAsia" w:ascii="宋体" w:hAnsi="宋体" w:eastAsia="宋体" w:cs="仿宋_GB2312"/>
                <w:bCs/>
                <w:sz w:val="24"/>
              </w:rPr>
            </w:pPr>
            <w:r>
              <w:rPr>
                <w:rFonts w:hint="eastAsia" w:ascii="宋体" w:hAnsi="宋体" w:eastAsia="宋体" w:cs="仿宋_GB2312"/>
                <w:bCs/>
                <w:sz w:val="24"/>
              </w:rPr>
              <w:t>35.021313</w:t>
            </w:r>
          </w:p>
        </w:tc>
      </w:tr>
      <w:tr w14:paraId="47AD3437">
        <w:tblPrEx>
          <w:tblCellMar>
            <w:top w:w="0" w:type="dxa"/>
            <w:left w:w="108" w:type="dxa"/>
            <w:bottom w:w="0" w:type="dxa"/>
            <w:right w:w="108" w:type="dxa"/>
          </w:tblCellMar>
        </w:tblPrEx>
        <w:trPr>
          <w:trHeight w:val="288" w:hRule="atLeast"/>
          <w:jc w:val="center"/>
        </w:trPr>
        <w:tc>
          <w:tcPr>
            <w:tcW w:w="2202" w:type="pct"/>
            <w:tcBorders>
              <w:top w:val="single" w:color="000000" w:sz="4" w:space="0"/>
              <w:left w:val="single" w:color="000000" w:sz="4" w:space="0"/>
              <w:bottom w:val="single" w:color="000000" w:sz="4" w:space="0"/>
              <w:right w:val="single" w:color="000000" w:sz="4" w:space="0"/>
            </w:tcBorders>
            <w:noWrap/>
            <w:vAlign w:val="center"/>
          </w:tcPr>
          <w:p w14:paraId="0FD19301">
            <w:pPr>
              <w:spacing w:line="360" w:lineRule="auto"/>
              <w:ind w:firstLine="420"/>
              <w:jc w:val="center"/>
              <w:rPr>
                <w:rFonts w:hint="eastAsia" w:ascii="宋体" w:hAnsi="宋体" w:eastAsia="宋体" w:cs="仿宋_GB2312"/>
                <w:bCs/>
                <w:sz w:val="24"/>
              </w:rPr>
            </w:pPr>
            <w:r>
              <w:rPr>
                <w:rFonts w:hint="eastAsia" w:ascii="宋体" w:hAnsi="宋体" w:eastAsia="宋体" w:cs="仿宋_GB2312"/>
                <w:bCs/>
                <w:sz w:val="24"/>
              </w:rPr>
              <w:t>新G310国道-球机</w:t>
            </w:r>
          </w:p>
        </w:tc>
        <w:tc>
          <w:tcPr>
            <w:tcW w:w="1446" w:type="pct"/>
            <w:tcBorders>
              <w:top w:val="single" w:color="000000" w:sz="4" w:space="0"/>
              <w:left w:val="single" w:color="000000" w:sz="4" w:space="0"/>
              <w:bottom w:val="single" w:color="000000" w:sz="4" w:space="0"/>
              <w:right w:val="single" w:color="000000" w:sz="4" w:space="0"/>
            </w:tcBorders>
            <w:noWrap/>
            <w:vAlign w:val="center"/>
          </w:tcPr>
          <w:p w14:paraId="76014ACD">
            <w:pPr>
              <w:spacing w:line="360" w:lineRule="auto"/>
              <w:ind w:firstLine="420"/>
              <w:jc w:val="center"/>
              <w:rPr>
                <w:rFonts w:hint="eastAsia" w:ascii="宋体" w:hAnsi="宋体" w:eastAsia="宋体" w:cs="仿宋_GB2312"/>
                <w:bCs/>
                <w:sz w:val="24"/>
              </w:rPr>
            </w:pPr>
            <w:r>
              <w:rPr>
                <w:rFonts w:hint="eastAsia" w:ascii="宋体" w:hAnsi="宋体" w:eastAsia="宋体" w:cs="仿宋_GB2312"/>
                <w:bCs/>
                <w:sz w:val="24"/>
              </w:rPr>
              <w:t>119.005549</w:t>
            </w:r>
          </w:p>
        </w:tc>
        <w:tc>
          <w:tcPr>
            <w:tcW w:w="1351" w:type="pct"/>
            <w:tcBorders>
              <w:top w:val="single" w:color="000000" w:sz="4" w:space="0"/>
              <w:left w:val="single" w:color="000000" w:sz="4" w:space="0"/>
              <w:bottom w:val="single" w:color="000000" w:sz="4" w:space="0"/>
              <w:right w:val="single" w:color="000000" w:sz="4" w:space="0"/>
            </w:tcBorders>
            <w:noWrap/>
            <w:vAlign w:val="center"/>
          </w:tcPr>
          <w:p w14:paraId="2A9F9894">
            <w:pPr>
              <w:spacing w:line="360" w:lineRule="auto"/>
              <w:ind w:firstLine="420"/>
              <w:jc w:val="center"/>
              <w:rPr>
                <w:rFonts w:hint="eastAsia" w:ascii="宋体" w:hAnsi="宋体" w:eastAsia="宋体" w:cs="仿宋_GB2312"/>
                <w:bCs/>
                <w:sz w:val="24"/>
              </w:rPr>
            </w:pPr>
            <w:r>
              <w:rPr>
                <w:rFonts w:hint="eastAsia" w:ascii="宋体" w:hAnsi="宋体" w:eastAsia="宋体" w:cs="仿宋_GB2312"/>
                <w:bCs/>
                <w:sz w:val="24"/>
              </w:rPr>
              <w:t>34.654753</w:t>
            </w:r>
          </w:p>
        </w:tc>
      </w:tr>
    </w:tbl>
    <w:p w14:paraId="5AB902A3">
      <w:pPr>
        <w:spacing w:line="360" w:lineRule="auto"/>
        <w:ind w:firstLine="560" w:firstLineChars="200"/>
        <w:rPr>
          <w:rFonts w:hint="eastAsia" w:ascii="宋体" w:hAnsi="宋体"/>
          <w:sz w:val="28"/>
          <w:szCs w:val="28"/>
        </w:rPr>
      </w:pPr>
    </w:p>
    <w:p w14:paraId="06A70D32">
      <w:pPr>
        <w:numPr>
          <w:ilvl w:val="0"/>
          <w:numId w:val="1"/>
        </w:numPr>
        <w:spacing w:line="360" w:lineRule="auto"/>
        <w:ind w:firstLine="482" w:firstLineChars="200"/>
        <w:rPr>
          <w:rFonts w:hint="eastAsia" w:ascii="黑体" w:hAnsi="黑体" w:eastAsia="黑体"/>
          <w:b/>
          <w:sz w:val="24"/>
          <w:szCs w:val="24"/>
        </w:rPr>
      </w:pPr>
      <w:r>
        <w:rPr>
          <w:rFonts w:hint="eastAsia" w:ascii="黑体" w:hAnsi="黑体" w:eastAsia="黑体"/>
          <w:b/>
          <w:sz w:val="24"/>
          <w:szCs w:val="24"/>
        </w:rPr>
        <w:t>服务技术要求</w:t>
      </w:r>
    </w:p>
    <w:p w14:paraId="51B1F2CE">
      <w:pPr>
        <w:spacing w:line="360" w:lineRule="auto"/>
        <w:ind w:firstLine="480"/>
        <w:rPr>
          <w:rFonts w:ascii="Times New Roman" w:hAnsi="Times New Roman" w:eastAsia="宋体" w:cs="Times New Roman"/>
          <w:sz w:val="24"/>
        </w:rPr>
      </w:pPr>
      <w:r>
        <w:rPr>
          <w:rFonts w:ascii="Times New Roman" w:hAnsi="Times New Roman" w:eastAsia="宋体" w:cs="Times New Roman"/>
          <w:sz w:val="24"/>
        </w:rPr>
        <w:t>（1）严格按照务合同、方案以及国家、省市等相关管理制度及规定开展监测工作，能够满足及时上站维护等服务内容。</w:t>
      </w:r>
    </w:p>
    <w:p w14:paraId="32BCB928">
      <w:pPr>
        <w:spacing w:line="360" w:lineRule="auto"/>
        <w:ind w:firstLine="480"/>
        <w:rPr>
          <w:rFonts w:ascii="Times New Roman" w:hAnsi="Times New Roman" w:eastAsia="宋体" w:cs="Times New Roman"/>
          <w:sz w:val="24"/>
        </w:rPr>
      </w:pPr>
      <w:r>
        <w:rPr>
          <w:rFonts w:ascii="Times New Roman" w:hAnsi="Times New Roman" w:eastAsia="宋体" w:cs="Times New Roman"/>
          <w:sz w:val="24"/>
        </w:rPr>
        <w:t>（2）运维人员须</w:t>
      </w:r>
      <w:r>
        <w:rPr>
          <w:rFonts w:hint="eastAsia" w:ascii="Times New Roman" w:hAnsi="Times New Roman" w:eastAsia="宋体" w:cs="Times New Roman"/>
          <w:sz w:val="24"/>
        </w:rPr>
        <w:t>在收到故障单1小时内</w:t>
      </w:r>
      <w:r>
        <w:rPr>
          <w:rFonts w:ascii="Times New Roman" w:hAnsi="Times New Roman" w:eastAsia="宋体" w:cs="Times New Roman"/>
          <w:sz w:val="24"/>
        </w:rPr>
        <w:t>完成数据审核及运维工作安排，根据监测情况做好运维派单，当天现场运维工作结束后上报维修情况。</w:t>
      </w:r>
    </w:p>
    <w:p w14:paraId="0D17F1BA">
      <w:pPr>
        <w:spacing w:line="360" w:lineRule="auto"/>
        <w:ind w:firstLine="480"/>
        <w:rPr>
          <w:rFonts w:ascii="Times New Roman" w:hAnsi="Times New Roman" w:eastAsia="宋体" w:cs="Times New Roman"/>
          <w:sz w:val="24"/>
        </w:rPr>
      </w:pPr>
      <w:r>
        <w:rPr>
          <w:rFonts w:ascii="Times New Roman" w:hAnsi="Times New Roman" w:eastAsia="宋体" w:cs="Times New Roman"/>
          <w:sz w:val="24"/>
        </w:rPr>
        <w:t>（3）运维人员收到异常警示后，应及时核查处理，做好仪器设备故障维修、耗材更换、备品备件更换等运维工作，每月、季度、半年、年度按照要求清洗相关仪器设备、</w:t>
      </w:r>
      <w:r>
        <w:rPr>
          <w:rFonts w:hint="eastAsia" w:ascii="Times New Roman" w:hAnsi="Times New Roman" w:eastAsia="宋体" w:cs="Times New Roman"/>
          <w:sz w:val="24"/>
        </w:rPr>
        <w:t>线路</w:t>
      </w:r>
      <w:r>
        <w:rPr>
          <w:rFonts w:ascii="Times New Roman" w:hAnsi="Times New Roman" w:eastAsia="宋体" w:cs="Times New Roman"/>
          <w:sz w:val="24"/>
        </w:rPr>
        <w:t>等并做好年度预防性维护，按照采购人要求完成站点的质控工作；</w:t>
      </w:r>
    </w:p>
    <w:p w14:paraId="6AA116E7">
      <w:pPr>
        <w:spacing w:line="360" w:lineRule="auto"/>
        <w:ind w:firstLine="480"/>
        <w:rPr>
          <w:rFonts w:ascii="Times New Roman" w:hAnsi="Times New Roman" w:eastAsia="宋体" w:cs="Times New Roman"/>
          <w:sz w:val="24"/>
        </w:rPr>
      </w:pPr>
      <w:r>
        <w:rPr>
          <w:rFonts w:ascii="Times New Roman" w:hAnsi="Times New Roman" w:eastAsia="宋体" w:cs="Times New Roman"/>
          <w:sz w:val="24"/>
        </w:rPr>
        <w:t>（4）及时关注采购人发布的最新工作要求。运维人员须根据时间节点要求，完成每日、每月及工作群内要求汇总的各类工作报表；</w:t>
      </w:r>
    </w:p>
    <w:p w14:paraId="40F88DCF">
      <w:pPr>
        <w:spacing w:line="360" w:lineRule="auto"/>
        <w:ind w:firstLine="480"/>
        <w:rPr>
          <w:rFonts w:ascii="Times New Roman" w:hAnsi="Times New Roman" w:eastAsia="宋体" w:cs="Times New Roman"/>
          <w:sz w:val="24"/>
        </w:rPr>
      </w:pPr>
      <w:r>
        <w:rPr>
          <w:rFonts w:ascii="Times New Roman" w:hAnsi="Times New Roman" w:eastAsia="宋体" w:cs="Times New Roman"/>
          <w:sz w:val="24"/>
        </w:rPr>
        <w:t>（5）运维人员的考勤及休假按照采购人规定的休假制度执行。</w:t>
      </w:r>
    </w:p>
    <w:p w14:paraId="1A651BA3">
      <w:pPr>
        <w:spacing w:line="360" w:lineRule="auto"/>
        <w:ind w:firstLine="480"/>
        <w:rPr>
          <w:rFonts w:ascii="Times New Roman" w:hAnsi="Times New Roman" w:eastAsia="宋体" w:cs="Times New Roman"/>
          <w:sz w:val="24"/>
        </w:rPr>
      </w:pPr>
      <w:r>
        <w:rPr>
          <w:rFonts w:hint="eastAsia" w:ascii="Times New Roman" w:hAnsi="Times New Roman" w:eastAsia="宋体" w:cs="Times New Roman"/>
          <w:sz w:val="24"/>
        </w:rPr>
        <w:t>（6）</w:t>
      </w:r>
      <w:r>
        <w:rPr>
          <w:rFonts w:ascii="Times New Roman" w:hAnsi="Times New Roman" w:eastAsia="宋体" w:cs="Times New Roman"/>
          <w:sz w:val="24"/>
        </w:rPr>
        <w:t>电力保障服务：电力引入与续航</w:t>
      </w:r>
      <w:r>
        <w:rPr>
          <w:rFonts w:hint="eastAsia" w:ascii="Times New Roman" w:hAnsi="Times New Roman" w:eastAsia="宋体" w:cs="Times New Roman"/>
          <w:sz w:val="24"/>
        </w:rPr>
        <w:t>，</w:t>
      </w:r>
      <w:r>
        <w:rPr>
          <w:rFonts w:ascii="Times New Roman" w:hAnsi="Times New Roman" w:eastAsia="宋体" w:cs="Times New Roman"/>
          <w:sz w:val="24"/>
        </w:rPr>
        <w:t>建立全方位的电力保障服务，通过蓄电池备电、油机发电等方式，在外市电停电的情况下提供后备电力续航服务，保障设备持续稳定运行。</w:t>
      </w:r>
    </w:p>
    <w:p w14:paraId="33E20319">
      <w:pPr>
        <w:spacing w:line="360" w:lineRule="auto"/>
        <w:ind w:firstLine="480"/>
        <w:rPr>
          <w:rFonts w:ascii="Times New Roman" w:hAnsi="Times New Roman" w:eastAsia="宋体" w:cs="Times New Roman"/>
          <w:sz w:val="24"/>
        </w:rPr>
      </w:pPr>
      <w:r>
        <w:rPr>
          <w:rFonts w:hint="eastAsia" w:ascii="Times New Roman" w:hAnsi="Times New Roman" w:eastAsia="宋体" w:cs="Times New Roman"/>
          <w:sz w:val="24"/>
        </w:rPr>
        <w:t>（7）</w:t>
      </w:r>
      <w:r>
        <w:rPr>
          <w:rFonts w:ascii="Times New Roman" w:hAnsi="Times New Roman" w:eastAsia="宋体" w:cs="Times New Roman"/>
          <w:sz w:val="24"/>
        </w:rPr>
        <w:t>站点安全性：提供场地布置、安全保卫、清洁维护、防雷等服务，保障设备安全性。</w:t>
      </w:r>
    </w:p>
    <w:p w14:paraId="009DA97B">
      <w:pPr>
        <w:spacing w:line="360" w:lineRule="auto"/>
        <w:ind w:firstLine="480"/>
        <w:rPr>
          <w:rFonts w:ascii="Times New Roman" w:hAnsi="Times New Roman" w:eastAsia="宋体" w:cs="Times New Roman"/>
          <w:b/>
          <w:bCs/>
          <w:sz w:val="24"/>
        </w:rPr>
      </w:pPr>
      <w:r>
        <w:rPr>
          <w:rFonts w:ascii="Times New Roman" w:hAnsi="Times New Roman" w:eastAsia="宋体" w:cs="Times New Roman"/>
          <w:b/>
          <w:bCs/>
          <w:sz w:val="24"/>
        </w:rPr>
        <w:t>（</w:t>
      </w:r>
      <w:r>
        <w:rPr>
          <w:rFonts w:hint="eastAsia" w:ascii="Times New Roman" w:hAnsi="Times New Roman" w:eastAsia="宋体" w:cs="Times New Roman"/>
          <w:b/>
          <w:bCs/>
          <w:sz w:val="24"/>
        </w:rPr>
        <w:t>8</w:t>
      </w:r>
      <w:r>
        <w:rPr>
          <w:rFonts w:ascii="Times New Roman" w:hAnsi="Times New Roman" w:eastAsia="宋体" w:cs="Times New Roman"/>
          <w:b/>
          <w:bCs/>
          <w:sz w:val="24"/>
        </w:rPr>
        <w:t>）</w:t>
      </w:r>
      <w:r>
        <w:rPr>
          <w:rFonts w:hint="eastAsia" w:ascii="Times New Roman" w:hAnsi="Times New Roman" w:eastAsia="宋体" w:cs="Times New Roman"/>
          <w:b/>
          <w:bCs/>
          <w:sz w:val="24"/>
        </w:rPr>
        <w:t>20路</w:t>
      </w:r>
      <w:r>
        <w:rPr>
          <w:rFonts w:ascii="Times New Roman" w:hAnsi="Times New Roman" w:eastAsia="宋体" w:cs="Times New Roman"/>
          <w:b/>
          <w:bCs/>
          <w:sz w:val="24"/>
        </w:rPr>
        <w:t>摄像机架设在高空资源上，中标方承诺中标价包含高空资源挂载费用，中标方在收到中标通知书3日内提供与产权方签订的高空资源使用合同或自身为产权方，否则视为弃标，并列入失信名单（提供承诺书）。</w:t>
      </w:r>
    </w:p>
    <w:p w14:paraId="3B7B8D87">
      <w:pPr>
        <w:spacing w:line="360" w:lineRule="auto"/>
        <w:ind w:firstLine="480"/>
        <w:rPr>
          <w:rFonts w:ascii="Times New Roman" w:hAnsi="Times New Roman" w:eastAsia="宋体" w:cs="Times New Roman"/>
          <w:sz w:val="24"/>
        </w:rPr>
      </w:pPr>
      <w:r>
        <w:rPr>
          <w:rFonts w:hint="eastAsia" w:ascii="Times New Roman" w:hAnsi="Times New Roman" w:eastAsia="宋体" w:cs="Times New Roman"/>
          <w:b/>
          <w:bCs/>
          <w:i/>
          <w:iCs/>
          <w:sz w:val="24"/>
          <w:u w:val="single"/>
        </w:rPr>
        <w:t>（9）信息传输：配套稳定的线路传输，传输带宽不低于10M。</w:t>
      </w:r>
    </w:p>
    <w:p w14:paraId="0DF15694">
      <w:pPr>
        <w:widowControl w:val="0"/>
        <w:rPr>
          <w:rFonts w:ascii="MS Mincho" w:hAnsi="Calibri" w:eastAsia="宋体" w:cs="Times New Roman"/>
          <w:color w:val="000000"/>
          <w:sz w:val="21"/>
          <w:szCs w:val="24"/>
          <w:lang w:val="en-US" w:eastAsia="zh-CN" w:bidi="ar-SA"/>
        </w:rPr>
      </w:pPr>
    </w:p>
    <w:p w14:paraId="7E93253B">
      <w:pPr>
        <w:spacing w:line="360" w:lineRule="auto"/>
        <w:ind w:firstLine="562"/>
        <w:rPr>
          <w:rFonts w:ascii="Times New Roman" w:hAnsi="Times New Roman" w:eastAsia="宋体" w:cs="Times New Roman"/>
          <w:b/>
          <w:sz w:val="28"/>
          <w:szCs w:val="28"/>
        </w:rPr>
      </w:pPr>
      <w:r>
        <w:rPr>
          <w:rFonts w:hint="eastAsia" w:ascii="Times New Roman" w:hAnsi="Times New Roman" w:eastAsia="宋体" w:cs="Times New Roman"/>
          <w:b/>
          <w:sz w:val="28"/>
          <w:szCs w:val="28"/>
        </w:rPr>
        <w:t>三、人员配备要求</w:t>
      </w:r>
    </w:p>
    <w:p w14:paraId="6E0854D9">
      <w:pPr>
        <w:spacing w:line="360" w:lineRule="auto"/>
        <w:ind w:firstLine="480"/>
        <w:jc w:val="left"/>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本项目共配备不少于8人。</w:t>
      </w:r>
    </w:p>
    <w:p w14:paraId="50ABF1F5">
      <w:pPr>
        <w:spacing w:line="360" w:lineRule="auto"/>
        <w:ind w:firstLine="480"/>
        <w:jc w:val="left"/>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其中项目负责人1人，主要职责：在服务期限内，负责与采购人对接，提供维护保障服务。出现问题时，及时响应，协调各方处理解决。对项目技术、项目质量全面负责，制定项目管理细则全面负责本项目服务工作，协调各方顺利完成本项目服务。</w:t>
      </w:r>
    </w:p>
    <w:p w14:paraId="6F6E17D9">
      <w:pPr>
        <w:spacing w:line="360" w:lineRule="auto"/>
        <w:ind w:firstLine="480"/>
        <w:jc w:val="left"/>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技术负责人1人，主要职责：担任本项目技术调试指导，负责所有接入点、接入数据专线、高空瞭望摄像机、视频分析平台的技术问题响应，对所有节点传输设备进行运行状态监控、资源分配和调度控制。负责调度团队人员进行故障响应、应急处理。</w:t>
      </w:r>
    </w:p>
    <w:p w14:paraId="6D95C37C">
      <w:pPr>
        <w:spacing w:line="360" w:lineRule="auto"/>
        <w:ind w:firstLine="480"/>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项目团队成员不少于6人，主要职责：具体承担本项目维护服务工作，每季度进行一次专线巡检及摄像机巡检并形成书面巡检报告。</w:t>
      </w:r>
    </w:p>
    <w:p w14:paraId="25795C5E">
      <w:pPr>
        <w:spacing w:line="360" w:lineRule="auto"/>
        <w:ind w:firstLine="562"/>
        <w:rPr>
          <w:rFonts w:ascii="Times New Roman" w:hAnsi="Times New Roman" w:eastAsia="宋体" w:cs="Times New Roman"/>
          <w:b/>
          <w:sz w:val="28"/>
          <w:szCs w:val="28"/>
        </w:rPr>
      </w:pPr>
      <w:r>
        <w:rPr>
          <w:rFonts w:hint="eastAsia" w:ascii="Times New Roman" w:hAnsi="Times New Roman" w:eastAsia="宋体" w:cs="Times New Roman"/>
          <w:b/>
          <w:sz w:val="28"/>
          <w:szCs w:val="28"/>
        </w:rPr>
        <w:t>四、服务期限与项目进度安排</w:t>
      </w:r>
    </w:p>
    <w:p w14:paraId="3BD9406A">
      <w:pPr>
        <w:numPr>
          <w:ilvl w:val="1"/>
          <w:numId w:val="0"/>
        </w:numPr>
        <w:spacing w:line="360" w:lineRule="auto"/>
        <w:ind w:firstLine="482"/>
        <w:rPr>
          <w:rFonts w:hint="eastAsia" w:ascii="宋体" w:hAnsi="宋体" w:eastAsia="宋体" w:cs="宋体"/>
          <w:b/>
          <w:bCs/>
          <w:i/>
          <w:iCs/>
          <w:sz w:val="24"/>
          <w:szCs w:val="24"/>
          <w:highlight w:val="yellow"/>
          <w:u w:val="single"/>
        </w:rPr>
      </w:pPr>
      <w:r>
        <w:rPr>
          <w:rFonts w:ascii="宋体" w:hAnsi="宋体" w:eastAsia="宋体" w:cs="宋体"/>
          <w:b/>
          <w:bCs/>
          <w:i/>
          <w:iCs/>
          <w:sz w:val="24"/>
          <w:szCs w:val="24"/>
          <w:highlight w:val="yellow"/>
        </w:rPr>
        <w:t>1．</w:t>
      </w:r>
      <w:r>
        <w:rPr>
          <w:rFonts w:hint="eastAsia" w:ascii="宋体" w:hAnsi="宋体" w:eastAsia="宋体" w:cs="宋体"/>
          <w:b/>
          <w:bCs/>
          <w:i/>
          <w:iCs/>
          <w:sz w:val="24"/>
          <w:szCs w:val="24"/>
          <w:highlight w:val="yellow"/>
          <w:u w:val="single"/>
        </w:rPr>
        <w:t>服务期：期限为1年。服务期从验收合格且整体交付使用之日起计算。</w:t>
      </w:r>
    </w:p>
    <w:p w14:paraId="1888FA2D">
      <w:pPr>
        <w:spacing w:line="360" w:lineRule="auto"/>
        <w:ind w:firstLine="562"/>
        <w:rPr>
          <w:rFonts w:hint="eastAsia" w:ascii="黑体" w:hAnsi="黑体" w:eastAsia="黑体" w:cs="Times New Roman"/>
          <w:b/>
          <w:bCs/>
          <w:sz w:val="24"/>
        </w:rPr>
      </w:pPr>
      <w:r>
        <w:rPr>
          <w:rFonts w:hint="eastAsia" w:ascii="Times New Roman" w:hAnsi="Times New Roman" w:eastAsia="宋体" w:cs="Times New Roman"/>
          <w:b/>
          <w:sz w:val="28"/>
          <w:szCs w:val="28"/>
        </w:rPr>
        <w:t>五、服务标准：符合国家相关行业质量标准</w:t>
      </w:r>
    </w:p>
    <w:p w14:paraId="59F257C1">
      <w:pPr>
        <w:spacing w:line="360" w:lineRule="auto"/>
        <w:ind w:firstLine="562"/>
        <w:rPr>
          <w:rFonts w:ascii="Times New Roman" w:hAnsi="Times New Roman" w:eastAsia="宋体" w:cs="Times New Roman"/>
          <w:b/>
          <w:sz w:val="28"/>
          <w:szCs w:val="28"/>
        </w:rPr>
      </w:pPr>
      <w:r>
        <w:rPr>
          <w:rFonts w:hint="eastAsia" w:ascii="Times New Roman" w:hAnsi="Times New Roman" w:eastAsia="宋体" w:cs="Times New Roman"/>
          <w:b/>
          <w:sz w:val="28"/>
          <w:szCs w:val="28"/>
        </w:rPr>
        <w:t>六、培训要求</w:t>
      </w:r>
    </w:p>
    <w:p w14:paraId="411D64EC">
      <w:pPr>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1.中标人应根据设备及软件特点，免费对采购人提供操作、维修、保养等方面的专业培训（培训内容包括设备系统的性能、技术原理、操作使用方法、基本维护等），并能实际上机操作。中标人对采购人人员的培训，应使采购人人员可以独立操作、维护、管理，从而使采购人人员能独立进行管理、故障处理、日常测试维护等工作，确保系统能正常安全运行。培训教材、培训场地及培训教师费用均包含在投标总价内。</w:t>
      </w:r>
    </w:p>
    <w:p w14:paraId="1FB59B76">
      <w:pPr>
        <w:spacing w:line="360" w:lineRule="auto"/>
        <w:ind w:firstLine="480"/>
        <w:rPr>
          <w:rFonts w:hint="eastAsia" w:ascii="黑体" w:hAnsi="黑体" w:eastAsia="黑体" w:cs="Times New Roman"/>
          <w:b/>
          <w:sz w:val="24"/>
        </w:rPr>
      </w:pPr>
      <w:r>
        <w:rPr>
          <w:rFonts w:hint="eastAsia" w:ascii="Times New Roman" w:hAnsi="Times New Roman" w:eastAsia="宋体" w:cs="Times New Roman"/>
          <w:sz w:val="24"/>
          <w:szCs w:val="24"/>
        </w:rPr>
        <w:t>2.培训人数为采购人所有技术人员。具体培训事项待采购人与中标人签订合同时，由双方商定。</w:t>
      </w:r>
    </w:p>
    <w:p w14:paraId="1519BCA9">
      <w:pPr>
        <w:spacing w:line="360" w:lineRule="auto"/>
        <w:ind w:firstLine="562"/>
        <w:rPr>
          <w:rFonts w:ascii="Times New Roman" w:hAnsi="Times New Roman" w:eastAsia="宋体" w:cs="Times New Roman"/>
          <w:b/>
          <w:sz w:val="28"/>
          <w:szCs w:val="28"/>
        </w:rPr>
      </w:pPr>
      <w:r>
        <w:rPr>
          <w:rFonts w:hint="eastAsia" w:ascii="Times New Roman" w:hAnsi="Times New Roman" w:eastAsia="宋体" w:cs="Times New Roman"/>
          <w:b/>
          <w:sz w:val="28"/>
          <w:szCs w:val="28"/>
        </w:rPr>
        <w:t>七、安全保障及保密要求</w:t>
      </w:r>
    </w:p>
    <w:p w14:paraId="17675B1D">
      <w:pPr>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采购项目涉及采购标的的知识产权归属、处理的，如订购、设计、定制开发的信息化建设项目等，应当约定知识产权的归属和处理方式。</w:t>
      </w:r>
    </w:p>
    <w:p w14:paraId="731F3874">
      <w:pPr>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1、安全运维管理要求</w:t>
      </w:r>
    </w:p>
    <w:p w14:paraId="0FC5C0F1">
      <w:pPr>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成交供应商必须规范日常的安全操作，符合财政部总体安全策略，通过运维实施必要的安全运行维护措施，配合采购人定期开展网络安全自查，自查内容至少包括系统日常运行情况、系统漏洞等。配合采购人定期进行安全审计，审计内容至少包括系统账号、权限、操作行为和安全技术措施有效性等，及时发现和处理信息系统运行过程中的安全隐患，减少或避免网络安全事件的发生。</w:t>
      </w:r>
    </w:p>
    <w:p w14:paraId="30878856">
      <w:pPr>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2、技术安全防护要求</w:t>
      </w:r>
    </w:p>
    <w:p w14:paraId="5A861A37">
      <w:pPr>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规范管理信息化设备的安全维护，根据工作所需设置最小访问权限，禁止将系统管理员权限授予其他人员，禁止绕过运维安全审计系统对基础软件进行远程维护，严格控制运维工具的使用，经过采购人审核后才可接入财政网络进行操作，规范财政网络和信息系统软硬件的配置管理，信息系统配置、升级或改造等方面的变更按照审批流程操作。因运维实施人员配置错误、操作错误，造成系统、设备、资金损失，追究相关公司责任。单位用户数字证书，由各区财政局自行申请采购。</w:t>
      </w:r>
    </w:p>
    <w:p w14:paraId="65A89B0D">
      <w:pPr>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3、信息保密要求</w:t>
      </w:r>
    </w:p>
    <w:p w14:paraId="10513138">
      <w:pPr>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成交供应商承诺对采购人提供的内部资料、数据和信息予以保密。未经采购人书面许可，不许以任何形式向第三方透露。成交供应商应与驻场运维服务人员签订保密协议，督促运维服务人员严格遵守保密规定。</w:t>
      </w:r>
    </w:p>
    <w:p w14:paraId="15D9EF9D">
      <w:pPr>
        <w:spacing w:line="360" w:lineRule="auto"/>
        <w:ind w:firstLine="562"/>
        <w:rPr>
          <w:rFonts w:ascii="Times New Roman" w:hAnsi="Times New Roman" w:eastAsia="宋体" w:cs="Times New Roman"/>
          <w:b/>
          <w:sz w:val="28"/>
          <w:szCs w:val="28"/>
        </w:rPr>
      </w:pPr>
      <w:r>
        <w:rPr>
          <w:rFonts w:hint="eastAsia" w:ascii="Times New Roman" w:hAnsi="Times New Roman" w:eastAsia="宋体" w:cs="Times New Roman"/>
          <w:b/>
          <w:sz w:val="28"/>
          <w:szCs w:val="28"/>
        </w:rPr>
        <w:t>八、履约验收</w:t>
      </w:r>
    </w:p>
    <w:p w14:paraId="64CA0B56">
      <w:pPr>
        <w:spacing w:line="360" w:lineRule="auto"/>
        <w:ind w:firstLine="480"/>
        <w:rPr>
          <w:rFonts w:hint="eastAsia" w:ascii="宋体" w:hAnsi="宋体" w:eastAsia="宋体" w:cs="宋体"/>
          <w:bCs/>
          <w:sz w:val="24"/>
        </w:rPr>
      </w:pPr>
      <w:r>
        <w:rPr>
          <w:rFonts w:hint="eastAsia" w:ascii="宋体" w:hAnsi="宋体" w:eastAsia="宋体" w:cs="宋体"/>
          <w:bCs/>
          <w:sz w:val="24"/>
        </w:rPr>
        <w:t>（1）项目需达到相关功能、性能、指标等要求，并连续无故障试运行30日，方可验收。</w:t>
      </w:r>
    </w:p>
    <w:p w14:paraId="3621D003">
      <w:pPr>
        <w:spacing w:line="360" w:lineRule="auto"/>
        <w:ind w:firstLine="480"/>
        <w:rPr>
          <w:rFonts w:hint="eastAsia" w:ascii="宋体" w:hAnsi="宋体" w:eastAsia="宋体" w:cs="宋体"/>
          <w:bCs/>
          <w:sz w:val="24"/>
        </w:rPr>
      </w:pPr>
      <w:r>
        <w:rPr>
          <w:rFonts w:hint="eastAsia" w:ascii="宋体" w:hAnsi="宋体" w:eastAsia="宋体" w:cs="宋体"/>
          <w:bCs/>
          <w:sz w:val="24"/>
        </w:rPr>
        <w:t>（2）在试运行期间，如果系统某些功能、性能、指标等达不到要求，成交单位应尽快完善。运行无故障并通过测试内容指标项，视为试运行合格。</w:t>
      </w:r>
    </w:p>
    <w:p w14:paraId="4A35E0E6">
      <w:pPr>
        <w:spacing w:line="360" w:lineRule="auto"/>
        <w:ind w:firstLine="480"/>
        <w:rPr>
          <w:rFonts w:ascii="Calibri" w:hAnsi="Calibri" w:eastAsia="宋体" w:cs="Times New Roman"/>
          <w:sz w:val="24"/>
        </w:rPr>
      </w:pPr>
      <w:r>
        <w:rPr>
          <w:rFonts w:hint="eastAsia" w:ascii="宋体" w:hAnsi="宋体" w:eastAsia="宋体" w:cs="宋体"/>
          <w:bCs/>
          <w:sz w:val="24"/>
        </w:rPr>
        <w:t>（3）验收时，对磋商文件、投标文件、采购合同中的系统功能、性能、指标的履约情况进行验收确认。验收结束后，出具验收书，列明各项标准的验收情况及项目总体评价，由验收双方共同签署。</w:t>
      </w:r>
    </w:p>
    <w:p w14:paraId="1001C148">
      <w:pPr>
        <w:spacing w:line="360" w:lineRule="auto"/>
        <w:ind w:firstLine="562"/>
        <w:rPr>
          <w:rFonts w:ascii="Times New Roman" w:hAnsi="Times New Roman" w:eastAsia="宋体" w:cs="Times New Roman"/>
          <w:b/>
          <w:sz w:val="28"/>
          <w:szCs w:val="28"/>
        </w:rPr>
      </w:pPr>
      <w:r>
        <w:rPr>
          <w:rFonts w:hint="eastAsia" w:ascii="Times New Roman" w:hAnsi="Times New Roman" w:eastAsia="宋体" w:cs="Times New Roman"/>
          <w:b/>
          <w:sz w:val="28"/>
          <w:szCs w:val="28"/>
        </w:rPr>
        <w:t>九、付款方式与履约保证金</w:t>
      </w:r>
    </w:p>
    <w:p w14:paraId="2E60A5F3">
      <w:pPr>
        <w:spacing w:line="360" w:lineRule="auto"/>
        <w:ind w:firstLine="482"/>
        <w:rPr>
          <w:rFonts w:hint="eastAsia" w:ascii="宋体" w:hAnsi="宋体" w:eastAsia="宋体" w:cs="宋体"/>
          <w:b/>
          <w:bCs/>
          <w:i/>
          <w:iCs/>
          <w:sz w:val="24"/>
          <w:szCs w:val="24"/>
          <w:u w:val="single"/>
        </w:rPr>
      </w:pPr>
      <w:r>
        <w:rPr>
          <w:rFonts w:hint="eastAsia" w:ascii="宋体" w:hAnsi="宋体" w:eastAsia="宋体" w:cs="宋体"/>
          <w:b/>
          <w:bCs/>
          <w:i/>
          <w:iCs/>
          <w:sz w:val="24"/>
          <w:szCs w:val="24"/>
          <w:u w:val="single"/>
        </w:rPr>
        <w:t>9.1合同签订后30日内，预付半年运维费用，剩余费用在合同结束后次月支付。以半年为维度对运维工作进行考核，考核高于90分的全额支付，考核高于80分低于90分的，按百分制比例付款；考核低于80分的，解除合同。上半年考核情况在下半年付款时兑现。</w:t>
      </w:r>
    </w:p>
    <w:p w14:paraId="4CCB16FF">
      <w:pPr>
        <w:spacing w:line="360" w:lineRule="auto"/>
        <w:ind w:firstLine="482"/>
        <w:rPr>
          <w:rFonts w:hint="eastAsia" w:ascii="宋体" w:hAnsi="宋体" w:eastAsia="宋体" w:cs="宋体"/>
          <w:b/>
          <w:bCs/>
          <w:i/>
          <w:iCs/>
          <w:sz w:val="24"/>
          <w:szCs w:val="24"/>
          <w:u w:val="single"/>
        </w:rPr>
      </w:pPr>
      <w:r>
        <w:rPr>
          <w:rFonts w:hint="eastAsia" w:ascii="宋体" w:hAnsi="宋体" w:eastAsia="宋体" w:cs="宋体"/>
          <w:b/>
          <w:bCs/>
          <w:i/>
          <w:iCs/>
          <w:sz w:val="24"/>
          <w:szCs w:val="24"/>
          <w:u w:val="single"/>
        </w:rPr>
        <w:t>9.2乙方申请付款前须出具符合甲方要求的正规税费发票，</w:t>
      </w:r>
      <w:r>
        <w:rPr>
          <w:rFonts w:hint="eastAsia" w:ascii="宋体" w:hAnsi="宋体" w:eastAsia="宋体" w:cs="宋体"/>
          <w:b/>
          <w:bCs/>
          <w:i/>
          <w:iCs/>
          <w:sz w:val="24"/>
          <w:szCs w:val="24"/>
          <w:u w:val="single"/>
          <w:lang w:eastAsia="zh-Hans"/>
        </w:rPr>
        <w:t>甲方审核无误后付款</w:t>
      </w:r>
      <w:r>
        <w:rPr>
          <w:rFonts w:hint="eastAsia" w:ascii="宋体" w:hAnsi="宋体" w:eastAsia="宋体" w:cs="宋体"/>
          <w:b/>
          <w:bCs/>
          <w:i/>
          <w:iCs/>
          <w:sz w:val="24"/>
          <w:szCs w:val="24"/>
          <w:u w:val="single"/>
        </w:rPr>
        <w:t>。</w:t>
      </w:r>
    </w:p>
    <w:p w14:paraId="263E0590">
      <w:pPr>
        <w:spacing w:line="360" w:lineRule="auto"/>
        <w:ind w:firstLine="480"/>
        <w:rPr>
          <w:rFonts w:ascii="Times New Roman" w:hAnsi="Times New Roman" w:eastAsia="宋体" w:cs="Times New Roman"/>
          <w:b/>
          <w:sz w:val="28"/>
          <w:szCs w:val="28"/>
        </w:rPr>
      </w:pPr>
      <w:r>
        <w:rPr>
          <w:rFonts w:hint="eastAsia" w:ascii="宋体" w:hAnsi="宋体" w:eastAsia="宋体" w:cs="宋体"/>
          <w:sz w:val="24"/>
          <w:szCs w:val="24"/>
        </w:rPr>
        <w:t>9.3履约保证金：</w:t>
      </w:r>
      <w:r>
        <w:rPr>
          <w:rFonts w:hint="eastAsia" w:ascii="宋体" w:hAnsi="宋体" w:eastAsia="宋体" w:cs="宋体"/>
          <w:b/>
          <w:sz w:val="24"/>
          <w:szCs w:val="24"/>
        </w:rPr>
        <w:t>本项目不收取履约保证金。</w:t>
      </w:r>
    </w:p>
    <w:p w14:paraId="34681F62">
      <w:pPr>
        <w:spacing w:line="360" w:lineRule="auto"/>
        <w:ind w:firstLine="562"/>
        <w:rPr>
          <w:rFonts w:ascii="Times New Roman" w:hAnsi="Times New Roman" w:eastAsia="宋体" w:cs="Times New Roman"/>
          <w:b/>
          <w:sz w:val="28"/>
          <w:szCs w:val="28"/>
        </w:rPr>
      </w:pPr>
      <w:r>
        <w:rPr>
          <w:rFonts w:hint="eastAsia" w:ascii="Times New Roman" w:hAnsi="Times New Roman" w:eastAsia="宋体" w:cs="Times New Roman"/>
          <w:b/>
          <w:sz w:val="28"/>
          <w:szCs w:val="28"/>
        </w:rPr>
        <w:t>十、报价要求</w:t>
      </w:r>
    </w:p>
    <w:p w14:paraId="1988C3AD">
      <w:pPr>
        <w:spacing w:line="360" w:lineRule="auto"/>
        <w:ind w:firstLine="480"/>
        <w:jc w:val="left"/>
        <w:rPr>
          <w:rFonts w:hint="eastAsia" w:ascii="宋体" w:hAnsi="宋体" w:eastAsia="宋体" w:cs="宋体"/>
          <w:bCs/>
          <w:kern w:val="2"/>
          <w:sz w:val="24"/>
        </w:rPr>
      </w:pPr>
      <w:r>
        <w:rPr>
          <w:rFonts w:hint="eastAsia" w:ascii="宋体" w:hAnsi="宋体" w:eastAsia="宋体" w:cs="宋体"/>
          <w:bCs/>
          <w:kern w:val="2"/>
          <w:sz w:val="24"/>
        </w:rPr>
        <w:t>报价方式：总价。</w:t>
      </w:r>
    </w:p>
    <w:p w14:paraId="2EC78BDB">
      <w:pPr>
        <w:spacing w:line="360" w:lineRule="auto"/>
        <w:ind w:firstLine="480"/>
        <w:rPr>
          <w:rFonts w:hint="eastAsia" w:ascii="宋体" w:hAnsi="宋体" w:eastAsia="宋体" w:cs="宋体"/>
          <w:bCs/>
          <w:sz w:val="24"/>
        </w:rPr>
      </w:pPr>
      <w:r>
        <w:rPr>
          <w:rFonts w:hint="eastAsia" w:ascii="宋体" w:hAnsi="宋体" w:eastAsia="宋体" w:cs="宋体"/>
          <w:bCs/>
          <w:sz w:val="24"/>
        </w:rPr>
        <w:t>本项目由中标人负责提供所需服务全部相关工作，故投标报价应包含以上全部工作所需的一切费用。对于本招标文件未列明，而供应商认为必需的费用也需列入投标总报价。在合同实施时，采购人将不予支付中标人没有列入的项目费用，并认为此项目的费用已包括在投标总报价中。中标价格一经确认，中标人不得向采购人追加任何费用，采购人不再支付超出总价的任何费用。</w:t>
      </w:r>
    </w:p>
    <w:p w14:paraId="384D1964">
      <w:pPr>
        <w:spacing w:line="360" w:lineRule="auto"/>
        <w:ind w:firstLine="562"/>
        <w:rPr>
          <w:rFonts w:ascii="Times New Roman" w:hAnsi="Times New Roman" w:eastAsia="宋体" w:cs="Times New Roman"/>
          <w:b/>
          <w:sz w:val="28"/>
          <w:szCs w:val="28"/>
        </w:rPr>
      </w:pPr>
      <w:r>
        <w:rPr>
          <w:rFonts w:hint="eastAsia" w:ascii="宋体" w:hAnsi="宋体" w:eastAsia="宋体" w:cs="宋体"/>
          <w:b/>
          <w:sz w:val="28"/>
          <w:szCs w:val="28"/>
        </w:rPr>
        <w:t>十一、</w:t>
      </w:r>
      <w:r>
        <w:rPr>
          <w:rFonts w:hint="eastAsia" w:ascii="Times New Roman" w:hAnsi="Times New Roman" w:eastAsia="宋体" w:cs="Times New Roman"/>
          <w:b/>
          <w:sz w:val="28"/>
          <w:szCs w:val="28"/>
        </w:rPr>
        <w:t>其他</w:t>
      </w:r>
    </w:p>
    <w:p w14:paraId="00D3DA16">
      <w:pPr>
        <w:spacing w:line="360" w:lineRule="auto"/>
        <w:ind w:firstLine="480"/>
        <w:rPr>
          <w:rFonts w:ascii="Calibri" w:hAnsi="Calibri" w:eastAsia="宋体" w:cs="Times New Roman"/>
          <w:sz w:val="24"/>
        </w:rPr>
      </w:pPr>
      <w:r>
        <w:rPr>
          <w:rFonts w:hint="eastAsia" w:ascii="Calibri" w:hAnsi="Calibri" w:eastAsia="宋体" w:cs="Times New Roman"/>
          <w:sz w:val="24"/>
        </w:rPr>
        <w:t>本项目报价不得超过预算价（最高限价）。</w:t>
      </w:r>
    </w:p>
    <w:p w14:paraId="5A623FC7">
      <w:pPr>
        <w:spacing w:line="360" w:lineRule="auto"/>
        <w:ind w:firstLine="480"/>
        <w:rPr>
          <w:rFonts w:ascii="Calibri" w:hAnsi="Calibri" w:eastAsia="宋体" w:cs="Times New Roman"/>
          <w:sz w:val="24"/>
        </w:rPr>
      </w:pPr>
      <w:r>
        <w:rPr>
          <w:rFonts w:hint="eastAsia" w:ascii="Calibri" w:hAnsi="Calibri" w:eastAsia="宋体" w:cs="Times New Roman"/>
          <w:sz w:val="24"/>
        </w:rPr>
        <w:t>特别提醒投标人：应根据国家收费标准并结合市场实际进行报价，总价包干。</w:t>
      </w:r>
    </w:p>
    <w:p w14:paraId="24C63183">
      <w:pPr>
        <w:spacing w:line="360" w:lineRule="auto"/>
        <w:ind w:firstLine="480"/>
        <w:rPr>
          <w:rFonts w:hint="eastAsia"/>
          <w:sz w:val="24"/>
          <w:szCs w:val="24"/>
        </w:rPr>
      </w:pPr>
      <w:r>
        <w:rPr>
          <w:rFonts w:hint="eastAsia" w:ascii="Calibri" w:hAnsi="Calibri" w:eastAsia="宋体" w:cs="Times New Roman"/>
          <w:sz w:val="24"/>
        </w:rPr>
        <w:t>工作中涉及的敏感资料、电子数据等相关信息，中标人应严格执行保密的相关规定，不得以任何方式向任何第三人披露、泄露或许可第三人使用，否则追究其相应法律责任。</w:t>
      </w:r>
    </w:p>
    <w:p w14:paraId="3FBB16B3">
      <w:pPr>
        <w:spacing w:line="500" w:lineRule="exact"/>
        <w:ind w:firstLine="420"/>
        <w:jc w:val="center"/>
        <w:outlineLvl w:val="0"/>
        <w:rPr>
          <w:rFonts w:ascii="黑体" w:eastAsia="黑体" w:cs="Times New Roman"/>
          <w:sz w:val="44"/>
          <w:szCs w:val="44"/>
        </w:rPr>
      </w:pPr>
      <w:bookmarkStart w:id="10" w:name="_Toc20255"/>
      <w:r>
        <w:rPr>
          <w:rFonts w:hint="eastAsia"/>
        </w:rPr>
        <w:br w:type="column"/>
      </w:r>
      <w:bookmarkEnd w:id="9"/>
      <w:bookmarkStart w:id="11" w:name="_Toc465856615"/>
      <w:bookmarkStart w:id="12" w:name="_Toc25616"/>
      <w:r>
        <w:rPr>
          <w:rFonts w:hint="eastAsia" w:ascii="黑体" w:eastAsia="黑体" w:cs="Times New Roman"/>
          <w:sz w:val="44"/>
          <w:szCs w:val="44"/>
        </w:rPr>
        <w:t>第五章 评审方法和评审标准</w:t>
      </w:r>
      <w:bookmarkEnd w:id="10"/>
      <w:bookmarkEnd w:id="11"/>
    </w:p>
    <w:p w14:paraId="1419CB48">
      <w:pPr>
        <w:widowControl/>
        <w:spacing w:line="240" w:lineRule="exact"/>
        <w:ind w:firstLine="482"/>
        <w:rPr>
          <w:rFonts w:ascii="宋体" w:hAnsi="宋体"/>
          <w:b/>
          <w:color w:val="000000"/>
          <w:sz w:val="24"/>
        </w:rPr>
      </w:pPr>
    </w:p>
    <w:p w14:paraId="62533DC0">
      <w:pPr>
        <w:widowControl/>
        <w:spacing w:line="560" w:lineRule="exact"/>
        <w:ind w:firstLine="482"/>
        <w:rPr>
          <w:rFonts w:ascii="宋体" w:hAnsi="宋体"/>
          <w:b/>
          <w:color w:val="000000"/>
          <w:sz w:val="24"/>
        </w:rPr>
      </w:pPr>
      <w:r>
        <w:rPr>
          <w:rFonts w:hint="eastAsia" w:ascii="宋体" w:hAnsi="宋体"/>
          <w:b/>
          <w:color w:val="000000"/>
          <w:sz w:val="24"/>
        </w:rPr>
        <w:t>一、评标方法：综合评分法</w:t>
      </w:r>
    </w:p>
    <w:p w14:paraId="40EC72E0">
      <w:pPr>
        <w:widowControl/>
        <w:spacing w:line="560" w:lineRule="exact"/>
        <w:ind w:firstLine="480"/>
        <w:rPr>
          <w:rFonts w:ascii="宋体" w:hAnsi="宋体"/>
          <w:color w:val="000000"/>
          <w:sz w:val="24"/>
        </w:rPr>
      </w:pPr>
      <w:r>
        <w:rPr>
          <w:rFonts w:hint="eastAsia" w:ascii="宋体" w:hAnsi="宋体"/>
          <w:color w:val="000000"/>
          <w:sz w:val="24"/>
        </w:rPr>
        <w:t>综合评分法，是指响应文件满足采购文件全部实质性要求，且按照评审因素的量化指标评审得分最高的供应商为中标候选人的评标办法。</w:t>
      </w:r>
    </w:p>
    <w:p w14:paraId="70321B52">
      <w:pPr>
        <w:widowControl/>
        <w:spacing w:line="560" w:lineRule="exact"/>
        <w:ind w:firstLine="482"/>
        <w:rPr>
          <w:rFonts w:ascii="宋体" w:hAnsi="宋体"/>
          <w:color w:val="000000"/>
          <w:sz w:val="24"/>
        </w:rPr>
      </w:pPr>
      <w:r>
        <w:rPr>
          <w:rFonts w:hint="eastAsia" w:ascii="宋体" w:hAnsi="宋体"/>
          <w:b/>
          <w:color w:val="000000"/>
          <w:sz w:val="24"/>
        </w:rPr>
        <w:t>二、评标原则</w:t>
      </w:r>
      <w:r>
        <w:rPr>
          <w:rFonts w:hint="eastAsia" w:ascii="宋体" w:hAnsi="宋体"/>
          <w:color w:val="000000"/>
          <w:sz w:val="24"/>
        </w:rPr>
        <w:t>：评标委员会必须公平、公正、客观，不带任何倾向性和启发性；不得向外界透露任何与评标有关的内容；任何单位和个人不得干扰、影响评标的正常进行；评标委员会及有关工作人员不得私下与供应商接触。</w:t>
      </w:r>
    </w:p>
    <w:p w14:paraId="0A690B06">
      <w:pPr>
        <w:widowControl/>
        <w:spacing w:line="560" w:lineRule="exact"/>
        <w:ind w:firstLine="482"/>
        <w:rPr>
          <w:rFonts w:ascii="宋体" w:hAnsi="宋体"/>
          <w:b/>
          <w:color w:val="000000"/>
          <w:sz w:val="24"/>
        </w:rPr>
      </w:pPr>
      <w:r>
        <w:rPr>
          <w:rFonts w:hint="eastAsia" w:ascii="宋体" w:hAnsi="宋体"/>
          <w:b/>
          <w:color w:val="000000"/>
          <w:sz w:val="24"/>
        </w:rPr>
        <w:t>三、评标标准：</w:t>
      </w:r>
    </w:p>
    <w:p w14:paraId="538E0F7E">
      <w:pPr>
        <w:widowControl/>
        <w:spacing w:line="560" w:lineRule="exact"/>
        <w:ind w:firstLine="480"/>
        <w:rPr>
          <w:rFonts w:ascii="宋体" w:hAnsi="宋体"/>
          <w:color w:val="000000"/>
          <w:sz w:val="24"/>
        </w:rPr>
      </w:pPr>
      <w:r>
        <w:rPr>
          <w:rFonts w:hint="eastAsia" w:ascii="宋体" w:hAnsi="宋体"/>
          <w:color w:val="000000"/>
          <w:sz w:val="24"/>
        </w:rPr>
        <w:t>1、评标时，评标委员会以采购文件为评标依据，评标委员会各成员独立对每个供应商的响应文件进行评价，并汇总每个供应商的得分。</w:t>
      </w:r>
    </w:p>
    <w:p w14:paraId="047C51C0">
      <w:pPr>
        <w:widowControl/>
        <w:spacing w:line="560" w:lineRule="exact"/>
        <w:ind w:firstLine="480"/>
        <w:rPr>
          <w:rFonts w:ascii="宋体" w:hAnsi="宋体"/>
          <w:color w:val="000000"/>
          <w:sz w:val="24"/>
        </w:rPr>
      </w:pPr>
      <w:r>
        <w:rPr>
          <w:rFonts w:hint="eastAsia" w:ascii="宋体" w:hAnsi="宋体"/>
          <w:color w:val="000000"/>
          <w:sz w:val="24"/>
        </w:rPr>
        <w:t>2、本项目评分总分为100分，按四舍五入取至小数点后两位。</w:t>
      </w:r>
    </w:p>
    <w:p w14:paraId="6C1F5880">
      <w:pPr>
        <w:widowControl/>
        <w:spacing w:line="560" w:lineRule="exact"/>
        <w:ind w:firstLine="480"/>
        <w:rPr>
          <w:rFonts w:ascii="宋体" w:hAnsi="宋体"/>
          <w:color w:val="000000"/>
          <w:sz w:val="24"/>
        </w:rPr>
      </w:pPr>
      <w:r>
        <w:rPr>
          <w:rFonts w:hint="eastAsia" w:ascii="宋体" w:hAnsi="宋体"/>
          <w:color w:val="000000"/>
          <w:sz w:val="24"/>
        </w:rPr>
        <w:t>3、总得分=价格分+商务技术分</w:t>
      </w:r>
    </w:p>
    <w:p w14:paraId="6DA5C53F">
      <w:pPr>
        <w:widowControl/>
        <w:spacing w:line="560" w:lineRule="exact"/>
        <w:ind w:firstLine="480"/>
        <w:rPr>
          <w:rFonts w:ascii="宋体" w:hAnsi="宋体"/>
          <w:color w:val="000000"/>
          <w:sz w:val="24"/>
        </w:rPr>
      </w:pPr>
      <w:r>
        <w:rPr>
          <w:rFonts w:hint="eastAsia" w:ascii="宋体" w:hAnsi="宋体"/>
          <w:color w:val="000000"/>
          <w:sz w:val="24"/>
        </w:rPr>
        <w:t>4、中标标准：评标结果按评审后得分由高到低顺序排列。得分相同的，按投标报价由低到高顺序排列。得分且投标报价相同的并列。响应文件满足采购文件全部实质性要求，且按照评审因素的量化指标评审得分最高的供应商为排名第一的中标候选人。</w:t>
      </w:r>
    </w:p>
    <w:p w14:paraId="5BED68F1">
      <w:pPr>
        <w:pStyle w:val="37"/>
        <w:tabs>
          <w:tab w:val="left" w:pos="720"/>
          <w:tab w:val="clear" w:pos="916"/>
        </w:tabs>
        <w:spacing w:line="360" w:lineRule="auto"/>
        <w:ind w:left="734" w:hanging="343"/>
        <w:jc w:val="center"/>
        <w:rPr>
          <w:b/>
          <w:color w:val="000000"/>
          <w:sz w:val="28"/>
          <w:szCs w:val="28"/>
        </w:rPr>
      </w:pPr>
      <w:r>
        <w:rPr>
          <w:rFonts w:hint="eastAsia"/>
          <w:b/>
          <w:color w:val="000000"/>
          <w:sz w:val="28"/>
          <w:szCs w:val="28"/>
        </w:rPr>
        <w:t>综合评分法</w:t>
      </w:r>
    </w:p>
    <w:p w14:paraId="79EFB197">
      <w:pPr>
        <w:spacing w:line="560" w:lineRule="exact"/>
        <w:ind w:left="420"/>
        <w:rPr>
          <w:rFonts w:ascii="宋体" w:hAnsi="宋体" w:eastAsia="宋体" w:cs="宋体"/>
          <w:b/>
          <w:color w:val="000000"/>
          <w:sz w:val="24"/>
          <w:szCs w:val="24"/>
        </w:rPr>
      </w:pPr>
      <w:r>
        <w:rPr>
          <w:rFonts w:hint="eastAsia" w:ascii="宋体" w:hAnsi="宋体" w:eastAsia="宋体" w:cs="宋体"/>
          <w:b/>
          <w:color w:val="000000"/>
          <w:sz w:val="24"/>
          <w:szCs w:val="24"/>
        </w:rPr>
        <w:t>1.价格分：</w:t>
      </w: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0分</w:t>
      </w:r>
    </w:p>
    <w:p w14:paraId="48AA7604">
      <w:pPr>
        <w:widowControl/>
        <w:spacing w:line="560" w:lineRule="exact"/>
        <w:ind w:firstLine="480"/>
        <w:rPr>
          <w:rFonts w:ascii="宋体" w:hAnsi="宋体" w:eastAsia="宋体" w:cs="宋体"/>
          <w:b/>
          <w:color w:val="000000"/>
          <w:sz w:val="24"/>
          <w:szCs w:val="24"/>
        </w:rPr>
      </w:pPr>
      <w:r>
        <w:rPr>
          <w:rFonts w:hint="eastAsia" w:ascii="宋体" w:hAnsi="宋体" w:eastAsia="宋体" w:cs="宋体"/>
          <w:b/>
          <w:color w:val="000000"/>
          <w:sz w:val="24"/>
          <w:szCs w:val="24"/>
        </w:rPr>
        <w:t>采用低价优先法计算，即满足采购文件要求且投标价格最低的投标报价为评标基准价，其价格分为满分。其他供应商的价格分统一按照下列公式计算：</w:t>
      </w:r>
    </w:p>
    <w:p w14:paraId="7DE1F91D">
      <w:pPr>
        <w:widowControl/>
        <w:spacing w:line="560" w:lineRule="exact"/>
        <w:ind w:firstLine="480"/>
        <w:rPr>
          <w:rFonts w:ascii="宋体" w:hAnsi="宋体" w:eastAsia="宋体" w:cs="宋体"/>
          <w:b/>
          <w:color w:val="000000"/>
          <w:sz w:val="24"/>
          <w:szCs w:val="24"/>
        </w:rPr>
      </w:pPr>
      <w:r>
        <w:rPr>
          <w:rFonts w:hint="eastAsia" w:ascii="宋体" w:hAnsi="宋体" w:eastAsia="宋体" w:cs="宋体"/>
          <w:b/>
          <w:color w:val="000000"/>
          <w:sz w:val="24"/>
          <w:szCs w:val="24"/>
        </w:rPr>
        <w:t>投标报价得分=（评标基准价/投标报价）X</w:t>
      </w: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0分。</w:t>
      </w:r>
    </w:p>
    <w:p w14:paraId="2D7BFB64">
      <w:pPr>
        <w:widowControl/>
        <w:spacing w:line="560" w:lineRule="exact"/>
        <w:ind w:firstLine="480"/>
        <w:rPr>
          <w:rFonts w:ascii="宋体" w:hAnsi="宋体" w:eastAsia="宋体" w:cs="宋体"/>
          <w:b/>
          <w:color w:val="000000"/>
          <w:sz w:val="24"/>
          <w:szCs w:val="24"/>
        </w:rPr>
      </w:pPr>
      <w:r>
        <w:rPr>
          <w:rFonts w:hint="eastAsia" w:ascii="宋体" w:hAnsi="宋体" w:eastAsia="宋体" w:cs="宋体"/>
          <w:b/>
          <w:color w:val="000000"/>
          <w:sz w:val="24"/>
          <w:szCs w:val="24"/>
        </w:rPr>
        <w:t>评标过程中，不得去掉报价中的最高报价和最低报价。</w:t>
      </w:r>
    </w:p>
    <w:p w14:paraId="7DB5912A">
      <w:pPr>
        <w:numPr>
          <w:ilvl w:val="0"/>
          <w:numId w:val="2"/>
        </w:numPr>
        <w:spacing w:line="560" w:lineRule="exact"/>
        <w:ind w:left="420"/>
        <w:rPr>
          <w:rFonts w:ascii="宋体" w:hAnsi="宋体" w:eastAsia="宋体" w:cs="宋体"/>
          <w:b/>
          <w:sz w:val="24"/>
          <w:szCs w:val="24"/>
        </w:rPr>
      </w:pPr>
      <w:r>
        <w:rPr>
          <w:rFonts w:hint="eastAsia" w:ascii="宋体" w:hAnsi="宋体" w:eastAsia="宋体" w:cs="宋体"/>
          <w:b/>
          <w:color w:val="000000"/>
          <w:sz w:val="24"/>
          <w:szCs w:val="24"/>
        </w:rPr>
        <w:t>商务技术分：</w:t>
      </w:r>
      <w:r>
        <w:rPr>
          <w:rFonts w:hint="eastAsia" w:ascii="宋体" w:hAnsi="宋体" w:eastAsia="宋体" w:cs="宋体"/>
          <w:b/>
          <w:color w:val="000000"/>
          <w:sz w:val="24"/>
          <w:szCs w:val="24"/>
          <w:lang w:val="en-US" w:eastAsia="zh-CN"/>
        </w:rPr>
        <w:t>9</w:t>
      </w:r>
      <w:r>
        <w:rPr>
          <w:rFonts w:hint="eastAsia" w:ascii="宋体" w:hAnsi="宋体" w:eastAsia="宋体" w:cs="宋体"/>
          <w:b/>
          <w:color w:val="000000"/>
          <w:sz w:val="24"/>
          <w:szCs w:val="24"/>
        </w:rPr>
        <w:t>0分</w:t>
      </w:r>
    </w:p>
    <w:p w14:paraId="11F2AD6B">
      <w:pPr>
        <w:spacing w:line="560" w:lineRule="exact"/>
        <w:ind w:firstLine="482"/>
        <w:rPr>
          <w:rFonts w:ascii="宋体" w:hAnsi="宋体" w:eastAsia="宋体" w:cs="宋体"/>
          <w:b/>
          <w:sz w:val="24"/>
          <w:szCs w:val="24"/>
        </w:rPr>
      </w:pPr>
      <w:r>
        <w:rPr>
          <w:rFonts w:hint="eastAsia" w:ascii="宋体" w:hAnsi="宋体" w:eastAsia="宋体" w:cs="宋体"/>
          <w:b/>
          <w:sz w:val="24"/>
          <w:szCs w:val="24"/>
        </w:rPr>
        <w:t>技术部分（</w:t>
      </w:r>
      <w:r>
        <w:rPr>
          <w:rFonts w:hint="eastAsia" w:ascii="宋体" w:hAnsi="宋体" w:eastAsia="宋体" w:cs="宋体"/>
          <w:b/>
          <w:sz w:val="24"/>
          <w:szCs w:val="24"/>
          <w:lang w:val="en-US" w:eastAsia="zh-CN"/>
        </w:rPr>
        <w:t>50</w:t>
      </w:r>
      <w:r>
        <w:rPr>
          <w:rFonts w:hint="eastAsia" w:ascii="宋体" w:hAnsi="宋体" w:eastAsia="宋体" w:cs="宋体"/>
          <w:b/>
          <w:sz w:val="24"/>
          <w:szCs w:val="24"/>
        </w:rPr>
        <w:t>分）</w:t>
      </w:r>
    </w:p>
    <w:tbl>
      <w:tblPr>
        <w:tblStyle w:val="43"/>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2"/>
        <w:gridCol w:w="8388"/>
      </w:tblGrid>
      <w:tr w14:paraId="3B327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75" w:type="pct"/>
            <w:vAlign w:val="center"/>
          </w:tcPr>
          <w:p w14:paraId="7BE06236">
            <w:pPr>
              <w:jc w:val="center"/>
              <w:rPr>
                <w:rFonts w:ascii="宋体" w:hAnsi="宋体" w:eastAsia="宋体" w:cs="宋体"/>
                <w:b/>
                <w:sz w:val="24"/>
                <w:szCs w:val="24"/>
              </w:rPr>
            </w:pPr>
            <w:r>
              <w:rPr>
                <w:rFonts w:hint="eastAsia" w:ascii="宋体" w:hAnsi="宋体" w:eastAsia="宋体" w:cs="宋体"/>
                <w:b/>
                <w:sz w:val="24"/>
                <w:szCs w:val="24"/>
              </w:rPr>
              <w:t>评审因素</w:t>
            </w:r>
          </w:p>
        </w:tc>
        <w:tc>
          <w:tcPr>
            <w:tcW w:w="4024" w:type="pct"/>
            <w:vAlign w:val="center"/>
          </w:tcPr>
          <w:p w14:paraId="0806C392">
            <w:pPr>
              <w:jc w:val="center"/>
              <w:rPr>
                <w:rFonts w:ascii="宋体" w:hAnsi="宋体" w:eastAsia="宋体" w:cs="宋体"/>
                <w:b/>
                <w:sz w:val="24"/>
                <w:szCs w:val="24"/>
              </w:rPr>
            </w:pPr>
            <w:r>
              <w:rPr>
                <w:rFonts w:hint="eastAsia" w:ascii="宋体" w:hAnsi="宋体" w:eastAsia="宋体" w:cs="宋体"/>
                <w:b/>
                <w:sz w:val="24"/>
                <w:szCs w:val="24"/>
              </w:rPr>
              <w:t>评审标准</w:t>
            </w:r>
          </w:p>
        </w:tc>
      </w:tr>
      <w:tr w14:paraId="7976F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75" w:type="pct"/>
            <w:vAlign w:val="top"/>
          </w:tcPr>
          <w:p w14:paraId="4CDE70E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ascii="宋体" w:hAnsi="宋体" w:eastAsia="宋体" w:cs="宋体"/>
                <w:color w:val="000000"/>
                <w:sz w:val="24"/>
                <w:szCs w:val="24"/>
              </w:rPr>
            </w:pPr>
          </w:p>
          <w:p w14:paraId="67323F2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ascii="宋体" w:hAnsi="宋体" w:eastAsia="宋体" w:cs="宋体"/>
                <w:color w:val="000000"/>
                <w:sz w:val="24"/>
                <w:szCs w:val="24"/>
              </w:rPr>
            </w:pPr>
          </w:p>
          <w:p w14:paraId="071D47A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项目实施方案（10分）</w:t>
            </w:r>
          </w:p>
        </w:tc>
        <w:tc>
          <w:tcPr>
            <w:tcW w:w="4024" w:type="pct"/>
            <w:vAlign w:val="top"/>
          </w:tcPr>
          <w:p w14:paraId="4424C92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响应文件提供项目运维实施方案，方案内容包含但不限于系统运维实施流程、运维实施计划与进度、实施组织结构和管理体系、质量保证措施等内容：</w:t>
            </w:r>
          </w:p>
          <w:p w14:paraId="008FEAA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方案内容完整，系统运维实施优于招标需求、运维实施计划与进度安排科学合理、质量保证措施可操作性强的得10分；</w:t>
            </w:r>
          </w:p>
          <w:p w14:paraId="222F1D7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方案内容较完整，系统运维实施满足招标需求、运维实施计划与进度安排较合理、质量保证措施可操作性较强的得8分；</w:t>
            </w:r>
          </w:p>
          <w:p w14:paraId="1DD3445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方案内容一般，系统运维实施基本满足招标需求、运维实施计划与进度安排一般、质量保证措施可操作性一般的得6分；</w:t>
            </w:r>
          </w:p>
          <w:p w14:paraId="196A19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方案内容简单，系统运维实施一般、运维实施计划与进度安排科学合理性略差、质量保证措施可操作性略差的得4分；</w:t>
            </w:r>
          </w:p>
          <w:p w14:paraId="098C5B3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该项未阐述不得分。</w:t>
            </w:r>
          </w:p>
        </w:tc>
      </w:tr>
      <w:tr w14:paraId="62070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75" w:type="pct"/>
            <w:vAlign w:val="top"/>
          </w:tcPr>
          <w:p w14:paraId="5F11FD2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应对突发事件预案（10分）</w:t>
            </w:r>
          </w:p>
        </w:tc>
        <w:tc>
          <w:tcPr>
            <w:tcW w:w="4024" w:type="pct"/>
            <w:vAlign w:val="top"/>
          </w:tcPr>
          <w:p w14:paraId="286502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响应文件提供应对突发事件预案，内容包含但不限于安全保障措施、处理响应机制、故障处理、应急预案、风险管控机制等内容：</w:t>
            </w:r>
          </w:p>
          <w:p w14:paraId="28A7AF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方案完善全面，故障处置团队配置科学合理、处理响应机制完善、风险管控机制可操作性强得10分；</w:t>
            </w:r>
          </w:p>
          <w:p w14:paraId="35B087E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方案比较完善，故障处置团队配置比较合理、处理响应机制比较完善、风险管控机制可操作性较强得8分；</w:t>
            </w:r>
          </w:p>
          <w:p w14:paraId="04FA939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方案一般，故障处置团队配置一般、处理响应机制一般、风险管控机制可操作性一般得6分；</w:t>
            </w:r>
          </w:p>
          <w:p w14:paraId="3D27AE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方案简单，故障处置团队配置合理性略差、处理响应机制略差、风险管控机制可操作性不强得4分；</w:t>
            </w:r>
          </w:p>
          <w:p w14:paraId="5F601F4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该项未阐述不得分。</w:t>
            </w:r>
          </w:p>
        </w:tc>
      </w:tr>
      <w:tr w14:paraId="275E1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75" w:type="pct"/>
            <w:vAlign w:val="top"/>
          </w:tcPr>
          <w:p w14:paraId="4232145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服务承诺（10分）</w:t>
            </w:r>
          </w:p>
        </w:tc>
        <w:tc>
          <w:tcPr>
            <w:tcW w:w="4024" w:type="pct"/>
            <w:vAlign w:val="top"/>
          </w:tcPr>
          <w:p w14:paraId="61A8A97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rPr>
              <w:t>根据参选人承诺在连云港市内设服务网点，设立专门的办公场所，服务期内须提供常设24小时热线服务和长期的免费技术支持，并确定专人联系，提供不间断的服务直到服务期满。此项10分，不提供或承诺不完全满足不得分。（须提供盖章版的承诺函，格式自拟，否则不得分）</w:t>
            </w:r>
          </w:p>
        </w:tc>
      </w:tr>
      <w:tr w14:paraId="48972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75" w:type="pct"/>
            <w:shd w:val="clear" w:color="auto" w:fill="auto"/>
            <w:vAlign w:val="top"/>
          </w:tcPr>
          <w:p w14:paraId="61DCDB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运维服务方案（10分）</w:t>
            </w:r>
          </w:p>
        </w:tc>
        <w:tc>
          <w:tcPr>
            <w:tcW w:w="4024" w:type="pct"/>
            <w:shd w:val="clear" w:color="auto" w:fill="auto"/>
            <w:vAlign w:val="top"/>
          </w:tcPr>
          <w:p w14:paraId="3393E6B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响应文件提供运维服务方案，内容包含但不限于系统（设备）维护的分布情况、服务内容、对故障问题作出反应的时间及排障时间、服务巡检措施、后期使用成本高低及其他因素等内容：</w:t>
            </w:r>
          </w:p>
          <w:p w14:paraId="1A3EBAC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服务方案完善全面、服务方式合理、服务响应时间针对性强、服务巡检措施可操做性强的得10分；</w:t>
            </w:r>
          </w:p>
          <w:p w14:paraId="3F4D7D3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服务方案比较完善、服务方式比较合理、服务响应时间针对性较强、服务巡检措施可操做性较强的得8分；</w:t>
            </w:r>
          </w:p>
          <w:p w14:paraId="50F8A5E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服务方案一般、服务方式一般、服务响应时间针对性一般、服务巡检措施可操做性一般的得6分；</w:t>
            </w:r>
          </w:p>
          <w:p w14:paraId="3C5CA11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服务方案简单，服务方式合理性略差、服务响应时间针对性略差的得4分；</w:t>
            </w:r>
          </w:p>
          <w:p w14:paraId="6C83B4C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该项未阐述不得分。</w:t>
            </w:r>
          </w:p>
        </w:tc>
      </w:tr>
      <w:tr w14:paraId="3CB04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75" w:type="pct"/>
            <w:shd w:val="clear" w:color="auto" w:fill="auto"/>
            <w:vAlign w:val="top"/>
          </w:tcPr>
          <w:p w14:paraId="2521105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重点难点分析及解决策略方案（10分）</w:t>
            </w:r>
          </w:p>
        </w:tc>
        <w:tc>
          <w:tcPr>
            <w:tcW w:w="4024" w:type="pct"/>
            <w:shd w:val="clear" w:color="auto" w:fill="auto"/>
            <w:vAlign w:val="top"/>
          </w:tcPr>
          <w:p w14:paraId="1165A95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响应文件提供重点难点分析及解决策略方案，内容包含但不限于运维实施工作量动态变化、各部门间统筹协调、系统本地化适配改造、与软件开发团队沟通协调等内容：</w:t>
            </w:r>
          </w:p>
          <w:p w14:paraId="335D84A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重难点分析全面明确、建议合理、及解决策略可行性强的得10分；</w:t>
            </w:r>
          </w:p>
          <w:p w14:paraId="644429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重难点分析比较明确，建议比较合理、及解决策略可行性比较强的得8分；</w:t>
            </w:r>
          </w:p>
          <w:p w14:paraId="5314902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对本项目重难点分析一般，建议合理性一般、及解决策略可行性一般的得6分；</w:t>
            </w:r>
          </w:p>
          <w:p w14:paraId="7C536F3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对本项目重难点分析略差，建议合理性略差、及解决策略可行性略差的得4分；</w:t>
            </w:r>
          </w:p>
          <w:p w14:paraId="412B732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该项未阐述不得分。</w:t>
            </w:r>
          </w:p>
        </w:tc>
      </w:tr>
    </w:tbl>
    <w:p w14:paraId="69E6172B">
      <w:pPr>
        <w:spacing w:line="360" w:lineRule="auto"/>
        <w:rPr>
          <w:rFonts w:ascii="宋体" w:hAnsi="宋体" w:eastAsia="宋体" w:cs="宋体"/>
          <w:b/>
          <w:bCs/>
          <w:sz w:val="24"/>
          <w:szCs w:val="24"/>
        </w:rPr>
      </w:pPr>
    </w:p>
    <w:p w14:paraId="131B1504">
      <w:pPr>
        <w:spacing w:line="360" w:lineRule="auto"/>
        <w:rPr>
          <w:rFonts w:ascii="宋体" w:hAnsi="宋体" w:eastAsia="宋体" w:cs="宋体"/>
          <w:b/>
          <w:bCs/>
          <w:sz w:val="24"/>
          <w:szCs w:val="24"/>
        </w:rPr>
      </w:pPr>
      <w:r>
        <w:rPr>
          <w:rFonts w:hint="eastAsia" w:ascii="宋体" w:hAnsi="宋体" w:eastAsia="宋体" w:cs="宋体"/>
          <w:b/>
          <w:bCs/>
          <w:sz w:val="24"/>
          <w:szCs w:val="24"/>
        </w:rPr>
        <w:t>商务部分（</w:t>
      </w:r>
      <w:r>
        <w:rPr>
          <w:rFonts w:hint="eastAsia" w:ascii="宋体" w:hAnsi="宋体" w:eastAsia="宋体" w:cs="宋体"/>
          <w:b/>
          <w:bCs/>
          <w:sz w:val="24"/>
          <w:szCs w:val="24"/>
          <w:lang w:val="en-US" w:eastAsia="zh-CN"/>
        </w:rPr>
        <w:t>40</w:t>
      </w:r>
      <w:r>
        <w:rPr>
          <w:rFonts w:hint="eastAsia" w:ascii="宋体" w:hAnsi="宋体" w:eastAsia="宋体" w:cs="宋体"/>
          <w:b/>
          <w:bCs/>
          <w:sz w:val="24"/>
          <w:szCs w:val="24"/>
        </w:rPr>
        <w:t>分）</w:t>
      </w:r>
    </w:p>
    <w:tbl>
      <w:tblPr>
        <w:tblStyle w:val="43"/>
        <w:tblpPr w:leftFromText="180" w:rightFromText="180" w:vertAnchor="text" w:horzAnchor="page" w:tblpX="935" w:tblpY="348"/>
        <w:tblOverlap w:val="never"/>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2"/>
        <w:gridCol w:w="8388"/>
      </w:tblGrid>
      <w:tr w14:paraId="4DCF6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975" w:type="pct"/>
            <w:vAlign w:val="center"/>
          </w:tcPr>
          <w:p w14:paraId="6F319E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评审因素</w:t>
            </w:r>
          </w:p>
        </w:tc>
        <w:tc>
          <w:tcPr>
            <w:tcW w:w="4024" w:type="pct"/>
            <w:vAlign w:val="center"/>
          </w:tcPr>
          <w:p w14:paraId="400C79E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评审标准</w:t>
            </w:r>
          </w:p>
        </w:tc>
      </w:tr>
      <w:tr w14:paraId="1797F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2032" w:type="dxa"/>
            <w:vAlign w:val="top"/>
          </w:tcPr>
          <w:p w14:paraId="3D96E17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供应商资质（4分）</w:t>
            </w:r>
          </w:p>
        </w:tc>
        <w:tc>
          <w:tcPr>
            <w:tcW w:w="8388" w:type="dxa"/>
            <w:vAlign w:val="top"/>
          </w:tcPr>
          <w:p w14:paraId="5B072FD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1、供应商获得ISO27001信息安全管理体系认证，且在认证有效期限内的，满足得1分，不满足得0分；</w:t>
            </w:r>
          </w:p>
          <w:p w14:paraId="1DCEA6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2、磋商供应商获得ISO9001质量管理体系认证证书，且在认证有效期限内的，满足得1分，不满足得0分；</w:t>
            </w:r>
          </w:p>
          <w:p w14:paraId="024EFE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3、磋商供应商获得ISO20000信息技术服务管理体系认证证书，且在认证有效期限内的，满足得1分，不满足得0分；</w:t>
            </w:r>
          </w:p>
          <w:p w14:paraId="5AAA843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4、磋商供应商获得ISO22301业务连续性管理体系认证证书，且在认证有效期限内的，满足得1分，不满足得0分。</w:t>
            </w:r>
          </w:p>
          <w:p w14:paraId="2E1F9AD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注：响应文件中提供有效期内的证书扫描件与国家认证认可监督管理委员会网站查询截图并加盖供应商公章，否则不得分。</w:t>
            </w:r>
          </w:p>
        </w:tc>
      </w:tr>
      <w:tr w14:paraId="1E737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2032" w:type="dxa"/>
            <w:vAlign w:val="top"/>
          </w:tcPr>
          <w:p w14:paraId="27069FF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ascii="宋体" w:hAnsi="宋体" w:eastAsia="宋体" w:cs="宋体"/>
                <w:color w:val="000000"/>
                <w:sz w:val="24"/>
                <w:szCs w:val="24"/>
              </w:rPr>
            </w:pPr>
          </w:p>
          <w:p w14:paraId="32C083B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项目负责人（6分）</w:t>
            </w:r>
          </w:p>
        </w:tc>
        <w:tc>
          <w:tcPr>
            <w:tcW w:w="8388" w:type="dxa"/>
            <w:vAlign w:val="top"/>
          </w:tcPr>
          <w:p w14:paraId="6AC5A68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供应商拟派的项目负责人：</w:t>
            </w:r>
          </w:p>
          <w:p w14:paraId="523867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1、具有信息系统项目管理师证书的得3分；</w:t>
            </w:r>
          </w:p>
          <w:p w14:paraId="3ADD4CD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2、具有网络工程师证书的得3分，</w:t>
            </w:r>
          </w:p>
          <w:p w14:paraId="6E7831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注：1、响应文件中提供有效证书及2025年5月以来任意一个月由供应商为其缴纳的社保证明材料的电子件或扫描件或复印件并加盖供应商公章，否则不得分；</w:t>
            </w:r>
          </w:p>
        </w:tc>
      </w:tr>
      <w:tr w14:paraId="7260A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2032" w:type="dxa"/>
            <w:vAlign w:val="top"/>
          </w:tcPr>
          <w:p w14:paraId="73E56D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项目组成员（20分）</w:t>
            </w:r>
          </w:p>
        </w:tc>
        <w:tc>
          <w:tcPr>
            <w:tcW w:w="8388" w:type="dxa"/>
            <w:vAlign w:val="top"/>
          </w:tcPr>
          <w:p w14:paraId="06DEFA8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供应商拟派项目组成员（不含项目负责人）：</w:t>
            </w:r>
          </w:p>
          <w:p w14:paraId="6126F4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1.技术负责人具有信息系统项目管理师证书的得2分，具有嵌入式系统设计师证书的得2分，本项最高得4分；</w:t>
            </w:r>
          </w:p>
          <w:p w14:paraId="1BF1BCC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2、具有高级工程师（通信）的，每有1人得2分，本项最高得4分；</w:t>
            </w:r>
          </w:p>
          <w:p w14:paraId="082E4D0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3、具有信息系统项目管理师证书，每有1人得2分，本项最高得2分；</w:t>
            </w:r>
          </w:p>
          <w:p w14:paraId="7024B33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4、具有电子信息工程师证书，每有1人得2分，本项最高得6分；</w:t>
            </w:r>
          </w:p>
          <w:p w14:paraId="7EC495A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5、具有通信专业技术人员职业资格中级及以上证书的，每有1人得2分，最高得4分。</w:t>
            </w:r>
          </w:p>
          <w:p w14:paraId="694AAA8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注：1、响应文件中提供有效证书及2025年5月以来任意一个月由供应商为其缴纳的社保证明材料的电子件或扫描件或复印件并加盖供应商公章，否则不得分；</w:t>
            </w:r>
          </w:p>
        </w:tc>
      </w:tr>
      <w:tr w14:paraId="7D45E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2032" w:type="dxa"/>
            <w:vAlign w:val="top"/>
          </w:tcPr>
          <w:p w14:paraId="4E369A4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类似业绩（10分）</w:t>
            </w:r>
          </w:p>
        </w:tc>
        <w:tc>
          <w:tcPr>
            <w:tcW w:w="8388" w:type="dxa"/>
            <w:vAlign w:val="top"/>
          </w:tcPr>
          <w:p w14:paraId="7F5F1F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磋商供应商自2021年1月1日以来（以合同签订时间为准）具有类似监控系统平台建设或运维项目业绩的，每提供一个得2分，本项最高得10分。</w:t>
            </w:r>
          </w:p>
          <w:p w14:paraId="68D7017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注：响应文件中提供完整合同的复印件或电子件或扫描件并加盖供应商公章，合同须能明确反映出服务内容、合同金额、合同双方签订名称、签订时间等，否则不得分。</w:t>
            </w:r>
          </w:p>
        </w:tc>
      </w:tr>
    </w:tbl>
    <w:p w14:paraId="7B85D2A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ascii="宋体" w:hAnsi="宋体" w:eastAsia="宋体" w:cs="宋体"/>
          <w:color w:val="000000"/>
          <w:sz w:val="24"/>
          <w:szCs w:val="24"/>
        </w:rPr>
      </w:pPr>
    </w:p>
    <w:p w14:paraId="4B441BC9">
      <w:pPr>
        <w:rPr>
          <w:rFonts w:ascii="黑体" w:hAnsi="黑体" w:eastAsia="黑体"/>
        </w:rPr>
      </w:pPr>
      <w:r>
        <w:rPr>
          <w:rFonts w:hint="eastAsia" w:ascii="黑体" w:hAnsi="黑体" w:eastAsia="黑体"/>
        </w:rPr>
        <w:br w:type="page" w:clear="all"/>
      </w:r>
    </w:p>
    <w:p w14:paraId="407D0EC7">
      <w:pPr>
        <w:pStyle w:val="2"/>
        <w:spacing w:before="156" w:after="156" w:line="360" w:lineRule="auto"/>
        <w:jc w:val="center"/>
        <w:rPr>
          <w:rFonts w:ascii="黑体" w:hAnsi="黑体" w:eastAsia="黑体"/>
          <w:b w:val="0"/>
        </w:rPr>
      </w:pPr>
      <w:bookmarkStart w:id="13" w:name="_Toc8976"/>
      <w:r>
        <w:rPr>
          <w:rFonts w:hint="eastAsia" w:ascii="黑体" w:hAnsi="黑体" w:eastAsia="黑体"/>
          <w:b w:val="0"/>
        </w:rPr>
        <w:t>第六章  响应文件格式</w:t>
      </w:r>
      <w:bookmarkEnd w:id="12"/>
      <w:bookmarkEnd w:id="13"/>
    </w:p>
    <w:p w14:paraId="6A533ADB">
      <w:pPr>
        <w:spacing w:line="500" w:lineRule="exact"/>
        <w:jc w:val="left"/>
        <w:rPr>
          <w:sz w:val="24"/>
          <w:szCs w:val="24"/>
        </w:rPr>
      </w:pPr>
    </w:p>
    <w:p w14:paraId="013D95F3">
      <w:pPr>
        <w:jc w:val="center"/>
        <w:rPr>
          <w:rFonts w:ascii="宋体" w:hAnsi="宋体" w:eastAsia="宋体" w:cs="Times New Roman"/>
          <w:b/>
          <w:color w:val="000000"/>
          <w:sz w:val="72"/>
          <w:szCs w:val="21"/>
        </w:rPr>
      </w:pPr>
    </w:p>
    <w:p w14:paraId="184C67FE">
      <w:pPr>
        <w:jc w:val="center"/>
        <w:rPr>
          <w:rFonts w:ascii="宋体" w:hAnsi="宋体" w:eastAsia="宋体" w:cs="Times New Roman"/>
          <w:b/>
          <w:color w:val="000000"/>
          <w:sz w:val="72"/>
          <w:szCs w:val="21"/>
        </w:rPr>
      </w:pPr>
      <w:r>
        <w:rPr>
          <w:rFonts w:hint="eastAsia" w:ascii="宋体" w:hAnsi="宋体" w:eastAsia="宋体" w:cs="Times New Roman"/>
          <w:b/>
          <w:color w:val="000000"/>
          <w:sz w:val="72"/>
          <w:szCs w:val="21"/>
        </w:rPr>
        <w:t>响  应  文  件</w:t>
      </w:r>
    </w:p>
    <w:p w14:paraId="5081110E">
      <w:pPr>
        <w:jc w:val="center"/>
        <w:rPr>
          <w:rFonts w:ascii="宋体" w:hAnsi="宋体" w:eastAsia="宋体" w:cs="Times New Roman"/>
          <w:b/>
          <w:color w:val="000000"/>
          <w:sz w:val="72"/>
          <w:szCs w:val="21"/>
        </w:rPr>
      </w:pPr>
    </w:p>
    <w:p w14:paraId="1D84569C">
      <w:pPr>
        <w:jc w:val="center"/>
        <w:rPr>
          <w:rFonts w:ascii="宋体" w:hAnsi="宋体" w:eastAsia="宋体" w:cs="Times New Roman"/>
          <w:b/>
          <w:color w:val="000000"/>
          <w:sz w:val="72"/>
          <w:szCs w:val="21"/>
        </w:rPr>
      </w:pPr>
    </w:p>
    <w:p w14:paraId="0BB4E34F">
      <w:pPr>
        <w:jc w:val="center"/>
        <w:rPr>
          <w:rFonts w:ascii="宋体" w:hAnsi="宋体" w:eastAsia="宋体" w:cs="Times New Roman"/>
          <w:b/>
          <w:color w:val="000000"/>
          <w:sz w:val="36"/>
          <w:szCs w:val="21"/>
        </w:rPr>
      </w:pPr>
    </w:p>
    <w:p w14:paraId="577E6030">
      <w:pPr>
        <w:jc w:val="center"/>
        <w:rPr>
          <w:rFonts w:ascii="宋体" w:hAnsi="宋体" w:eastAsia="宋体" w:cs="Times New Roman"/>
          <w:b/>
          <w:color w:val="000000"/>
          <w:sz w:val="36"/>
          <w:szCs w:val="21"/>
        </w:rPr>
      </w:pPr>
    </w:p>
    <w:p w14:paraId="1BA63651">
      <w:pPr>
        <w:jc w:val="center"/>
        <w:rPr>
          <w:rFonts w:ascii="宋体" w:hAnsi="宋体" w:eastAsia="宋体" w:cs="Times New Roman"/>
          <w:b/>
          <w:color w:val="000000"/>
          <w:sz w:val="36"/>
          <w:szCs w:val="21"/>
        </w:rPr>
      </w:pPr>
    </w:p>
    <w:p w14:paraId="0C1F2A15">
      <w:pPr>
        <w:ind w:firstLine="1084"/>
        <w:rPr>
          <w:rFonts w:ascii="宋体" w:hAnsi="宋体" w:eastAsia="宋体" w:cs="Times New Roman"/>
          <w:b/>
          <w:color w:val="000000"/>
          <w:sz w:val="36"/>
          <w:szCs w:val="21"/>
        </w:rPr>
      </w:pPr>
      <w:r>
        <w:rPr>
          <w:rFonts w:hint="eastAsia" w:ascii="宋体" w:hAnsi="宋体" w:eastAsia="宋体" w:cs="Times New Roman"/>
          <w:b/>
          <w:color w:val="000000"/>
          <w:sz w:val="36"/>
          <w:szCs w:val="21"/>
        </w:rPr>
        <w:t>项 目 名 称：</w:t>
      </w:r>
      <w:r>
        <w:rPr>
          <w:rFonts w:hint="eastAsia" w:ascii="宋体" w:hAnsi="宋体" w:eastAsia="宋体" w:cs="Times New Roman"/>
          <w:b/>
          <w:color w:val="000000"/>
          <w:sz w:val="36"/>
          <w:szCs w:val="21"/>
          <w:u w:val="single"/>
        </w:rPr>
        <w:t xml:space="preserve">                   </w:t>
      </w:r>
    </w:p>
    <w:p w14:paraId="687F701D">
      <w:pPr>
        <w:ind w:firstLine="1084"/>
        <w:rPr>
          <w:rFonts w:ascii="宋体" w:hAnsi="宋体" w:eastAsia="宋体" w:cs="Times New Roman"/>
          <w:b/>
          <w:color w:val="000000"/>
          <w:sz w:val="36"/>
          <w:szCs w:val="21"/>
          <w:u w:val="single"/>
        </w:rPr>
      </w:pPr>
      <w:r>
        <w:rPr>
          <w:rFonts w:hint="eastAsia" w:ascii="宋体" w:hAnsi="宋体" w:eastAsia="宋体" w:cs="Times New Roman"/>
          <w:b/>
          <w:color w:val="000000"/>
          <w:sz w:val="36"/>
          <w:szCs w:val="21"/>
        </w:rPr>
        <w:t>项 目 编 号：</w:t>
      </w:r>
      <w:r>
        <w:rPr>
          <w:rFonts w:hint="eastAsia" w:ascii="宋体" w:hAnsi="宋体" w:eastAsia="宋体" w:cs="Times New Roman"/>
          <w:b/>
          <w:color w:val="000000"/>
          <w:sz w:val="36"/>
          <w:szCs w:val="21"/>
          <w:u w:val="single"/>
        </w:rPr>
        <w:t xml:space="preserve">                   </w:t>
      </w:r>
    </w:p>
    <w:p w14:paraId="119FF21B">
      <w:pPr>
        <w:rPr>
          <w:rFonts w:ascii="宋体" w:hAnsi="宋体" w:eastAsia="宋体" w:cs="Times New Roman"/>
          <w:b/>
          <w:color w:val="000000"/>
          <w:sz w:val="36"/>
          <w:szCs w:val="21"/>
          <w:u w:val="single"/>
        </w:rPr>
      </w:pPr>
      <w:r>
        <w:rPr>
          <w:rFonts w:hint="eastAsia" w:ascii="宋体" w:hAnsi="宋体" w:eastAsia="宋体" w:cs="Times New Roman"/>
          <w:b/>
          <w:color w:val="000000"/>
          <w:sz w:val="36"/>
          <w:szCs w:val="21"/>
        </w:rPr>
        <w:t xml:space="preserve">      供应商名称 ：</w:t>
      </w:r>
      <w:r>
        <w:rPr>
          <w:rFonts w:hint="eastAsia" w:ascii="宋体" w:hAnsi="宋体" w:eastAsia="宋体" w:cs="Times New Roman"/>
          <w:b/>
          <w:color w:val="000000"/>
          <w:sz w:val="36"/>
          <w:szCs w:val="21"/>
          <w:u w:val="single"/>
        </w:rPr>
        <w:t>（加盖公章）</w:t>
      </w:r>
    </w:p>
    <w:p w14:paraId="16F19243">
      <w:pPr>
        <w:rPr>
          <w:rFonts w:ascii="宋体" w:hAnsi="宋体" w:eastAsia="宋体" w:cs="Times New Roman"/>
          <w:b/>
          <w:color w:val="000000"/>
          <w:sz w:val="36"/>
          <w:szCs w:val="21"/>
          <w:u w:val="single"/>
        </w:rPr>
      </w:pPr>
      <w:r>
        <w:rPr>
          <w:rFonts w:hint="eastAsia" w:ascii="宋体" w:hAnsi="宋体" w:eastAsia="宋体" w:cs="Times New Roman"/>
          <w:b/>
          <w:color w:val="000000"/>
          <w:sz w:val="36"/>
          <w:szCs w:val="21"/>
        </w:rPr>
        <w:t xml:space="preserve">      日      期 ：</w:t>
      </w:r>
      <w:r>
        <w:rPr>
          <w:rFonts w:hint="eastAsia" w:ascii="宋体" w:hAnsi="宋体" w:eastAsia="宋体" w:cs="Times New Roman"/>
          <w:b/>
          <w:color w:val="000000"/>
          <w:sz w:val="36"/>
          <w:szCs w:val="21"/>
          <w:u w:val="single"/>
        </w:rPr>
        <w:t xml:space="preserve">                   </w:t>
      </w:r>
    </w:p>
    <w:p w14:paraId="3C3FF46F">
      <w:pPr>
        <w:spacing w:line="440" w:lineRule="exact"/>
        <w:jc w:val="center"/>
        <w:rPr>
          <w:rFonts w:ascii="宋体" w:hAnsi="宋体" w:eastAsia="宋体" w:cs="Times New Roman"/>
          <w:b/>
          <w:bCs/>
          <w:color w:val="000000"/>
          <w:sz w:val="32"/>
          <w:szCs w:val="32"/>
        </w:rPr>
      </w:pPr>
    </w:p>
    <w:p w14:paraId="0167398C">
      <w:pPr>
        <w:spacing w:line="440" w:lineRule="exact"/>
        <w:rPr>
          <w:rFonts w:ascii="宋体" w:hAnsi="宋体" w:eastAsia="宋体" w:cs="Times New Roman"/>
          <w:color w:val="000000"/>
          <w:szCs w:val="21"/>
        </w:rPr>
      </w:pPr>
    </w:p>
    <w:p w14:paraId="59978E4F">
      <w:pPr>
        <w:spacing w:line="500" w:lineRule="exact"/>
        <w:jc w:val="left"/>
        <w:rPr>
          <w:sz w:val="24"/>
          <w:szCs w:val="24"/>
        </w:rPr>
      </w:pPr>
    </w:p>
    <w:p w14:paraId="24D29743">
      <w:pPr>
        <w:spacing w:line="500" w:lineRule="exact"/>
        <w:jc w:val="left"/>
        <w:rPr>
          <w:sz w:val="24"/>
          <w:szCs w:val="24"/>
        </w:rPr>
      </w:pPr>
    </w:p>
    <w:p w14:paraId="7FD24748">
      <w:pPr>
        <w:spacing w:line="500" w:lineRule="exact"/>
        <w:jc w:val="left"/>
        <w:rPr>
          <w:sz w:val="24"/>
          <w:szCs w:val="24"/>
        </w:rPr>
      </w:pPr>
    </w:p>
    <w:p w14:paraId="5D961238">
      <w:pPr>
        <w:widowControl/>
        <w:jc w:val="left"/>
        <w:rPr>
          <w:sz w:val="24"/>
          <w:szCs w:val="24"/>
        </w:rPr>
      </w:pPr>
      <w:r>
        <w:rPr>
          <w:sz w:val="24"/>
          <w:szCs w:val="24"/>
        </w:rPr>
        <w:br w:type="page" w:clear="all"/>
      </w:r>
    </w:p>
    <w:p w14:paraId="4CA8C442">
      <w:pPr>
        <w:keepNext/>
        <w:keepLines/>
        <w:spacing w:before="360" w:after="200" w:line="360" w:lineRule="auto"/>
        <w:jc w:val="left"/>
        <w:outlineLvl w:val="1"/>
        <w:rPr>
          <w:rFonts w:ascii="宋体" w:hAnsi="宋体" w:eastAsia="宋体" w:cs="宋体"/>
          <w:i/>
          <w:sz w:val="36"/>
          <w:szCs w:val="36"/>
          <w:u w:val="single"/>
        </w:rPr>
      </w:pPr>
      <w:r>
        <w:rPr>
          <w:rFonts w:hint="eastAsia" w:ascii="宋体" w:hAnsi="宋体" w:eastAsia="宋体" w:cs="宋体"/>
          <w:i/>
          <w:sz w:val="36"/>
          <w:szCs w:val="36"/>
          <w:u w:val="single"/>
        </w:rPr>
        <w:t>一、法人或者其他组织的营业执照等证明文件，自然人的身份证明</w:t>
      </w:r>
    </w:p>
    <w:p w14:paraId="3E65A456"/>
    <w:p w14:paraId="0262CAFD"/>
    <w:p w14:paraId="3AE198E9">
      <w:pPr>
        <w:keepNext/>
        <w:keepLines/>
        <w:spacing w:before="360" w:after="200" w:line="360" w:lineRule="auto"/>
        <w:jc w:val="left"/>
        <w:outlineLvl w:val="1"/>
        <w:rPr>
          <w:rFonts w:ascii="Arial" w:hAnsi="Arial" w:eastAsia="宋体" w:cs="Arial"/>
          <w:i/>
          <w:sz w:val="36"/>
          <w:u w:val="single"/>
        </w:rPr>
      </w:pPr>
      <w:r>
        <w:rPr>
          <w:rFonts w:hint="eastAsia" w:ascii="Arial" w:hAnsi="Arial" w:eastAsia="宋体" w:cs="Arial"/>
          <w:i/>
          <w:sz w:val="36"/>
          <w:u w:val="single"/>
        </w:rPr>
        <w:t>二、上一年度的财务状况报告</w:t>
      </w:r>
    </w:p>
    <w:p w14:paraId="4491040F">
      <w:pPr>
        <w:spacing w:line="500" w:lineRule="exact"/>
        <w:ind w:firstLine="480"/>
        <w:jc w:val="left"/>
        <w:rPr>
          <w:sz w:val="24"/>
          <w:szCs w:val="24"/>
        </w:rPr>
      </w:pPr>
      <w:r>
        <w:rPr>
          <w:rFonts w:hint="eastAsia"/>
          <w:sz w:val="24"/>
          <w:szCs w:val="24"/>
        </w:rPr>
        <w:t>（成立不满一年无需提供）</w:t>
      </w:r>
    </w:p>
    <w:p w14:paraId="5936D010"/>
    <w:p w14:paraId="191F87A0"/>
    <w:p w14:paraId="00B43EB6">
      <w:pPr>
        <w:keepNext/>
        <w:keepLines/>
        <w:spacing w:before="360" w:after="200" w:line="360" w:lineRule="auto"/>
        <w:jc w:val="left"/>
        <w:outlineLvl w:val="1"/>
        <w:rPr>
          <w:rFonts w:ascii="Arial" w:hAnsi="Arial" w:eastAsia="宋体" w:cs="Arial"/>
          <w:i/>
          <w:iCs/>
          <w:sz w:val="36"/>
          <w:u w:val="single"/>
        </w:rPr>
      </w:pPr>
      <w:r>
        <w:rPr>
          <w:rFonts w:hint="eastAsia" w:ascii="Arial" w:hAnsi="Arial" w:eastAsia="宋体" w:cs="Arial"/>
          <w:i/>
          <w:iCs/>
          <w:sz w:val="36"/>
          <w:u w:val="single"/>
        </w:rPr>
        <w:t>三、依法缴纳税收和社会保障资金的相关材料</w:t>
      </w:r>
    </w:p>
    <w:p w14:paraId="7CE7548F">
      <w:pPr>
        <w:spacing w:line="500" w:lineRule="exact"/>
        <w:ind w:firstLine="480"/>
        <w:jc w:val="left"/>
        <w:rPr>
          <w:sz w:val="24"/>
          <w:szCs w:val="24"/>
        </w:rPr>
      </w:pPr>
      <w:r>
        <w:rPr>
          <w:rFonts w:hint="eastAsia"/>
          <w:sz w:val="24"/>
          <w:szCs w:val="24"/>
        </w:rPr>
        <w:t>（提供提交响应文件截止时间前一年内至少一个月依法缴纳税收及缴纳社会保障资金的证明材料，供应商依法享受缓缴、免缴税收、社会保障资金的提供证明材料）</w:t>
      </w:r>
    </w:p>
    <w:p w14:paraId="094F217C"/>
    <w:p w14:paraId="6DB36D33"/>
    <w:p w14:paraId="0663E2CC">
      <w:pPr>
        <w:spacing w:line="360" w:lineRule="auto"/>
        <w:jc w:val="center"/>
        <w:rPr>
          <w:rFonts w:ascii="黑体" w:hAnsi="黑体" w:eastAsia="黑体" w:cs="宋体"/>
          <w:bCs/>
          <w:sz w:val="36"/>
          <w:szCs w:val="28"/>
        </w:rPr>
      </w:pPr>
      <w:r>
        <w:rPr>
          <w:rFonts w:hint="eastAsia" w:ascii="黑体" w:hAnsi="黑体" w:eastAsia="黑体" w:cs="宋体"/>
          <w:bCs/>
          <w:sz w:val="36"/>
          <w:szCs w:val="28"/>
        </w:rPr>
        <w:t>财务状况报告及税收、社会保障资金缴纳情况承诺函</w:t>
      </w:r>
    </w:p>
    <w:p w14:paraId="1D265C54">
      <w:pPr>
        <w:jc w:val="left"/>
        <w:rPr>
          <w:rFonts w:ascii="MS Mincho" w:hAnsi="Calibri" w:eastAsia="宋体" w:cs="Times New Roman"/>
          <w:color w:val="000000"/>
          <w:szCs w:val="24"/>
        </w:rPr>
      </w:pPr>
    </w:p>
    <w:p w14:paraId="1E1873B4">
      <w:pPr>
        <w:spacing w:line="500" w:lineRule="exact"/>
        <w:jc w:val="left"/>
        <w:rPr>
          <w:rFonts w:ascii="Calibri" w:hAnsi="Calibri" w:eastAsia="宋体" w:cs="Times New Roman"/>
          <w:sz w:val="24"/>
          <w:szCs w:val="24"/>
        </w:rPr>
      </w:pPr>
      <w:r>
        <w:rPr>
          <w:rFonts w:hint="eastAsia" w:ascii="Calibri" w:hAnsi="Calibri" w:eastAsia="宋体" w:cs="Times New Roman"/>
          <w:sz w:val="24"/>
          <w:szCs w:val="24"/>
        </w:rPr>
        <w:t>致：</w:t>
      </w:r>
      <w:r>
        <w:rPr>
          <w:rFonts w:hint="eastAsia" w:ascii="Calibri" w:hAnsi="Calibri" w:eastAsia="宋体" w:cs="Times New Roman"/>
          <w:i/>
          <w:sz w:val="24"/>
          <w:szCs w:val="24"/>
          <w:u w:val="single"/>
        </w:rPr>
        <w:t>采购人名称</w:t>
      </w:r>
    </w:p>
    <w:p w14:paraId="5E40DDEA">
      <w:pPr>
        <w:spacing w:line="500" w:lineRule="exact"/>
        <w:ind w:firstLine="480"/>
        <w:jc w:val="left"/>
        <w:rPr>
          <w:rFonts w:ascii="Calibri" w:hAnsi="Calibri" w:eastAsia="宋体" w:cs="Times New Roman"/>
          <w:sz w:val="24"/>
          <w:szCs w:val="24"/>
        </w:rPr>
      </w:pPr>
      <w:r>
        <w:rPr>
          <w:rFonts w:hint="eastAsia" w:ascii="Calibri" w:hAnsi="Calibri" w:eastAsia="宋体" w:cs="Times New Roman"/>
          <w:sz w:val="24"/>
          <w:szCs w:val="24"/>
        </w:rPr>
        <w:t>我方</w:t>
      </w:r>
      <w:r>
        <w:rPr>
          <w:rFonts w:hint="eastAsia"/>
          <w:i/>
          <w:sz w:val="24"/>
          <w:szCs w:val="24"/>
          <w:u w:val="single"/>
        </w:rPr>
        <w:t>供应商</w:t>
      </w:r>
      <w:r>
        <w:rPr>
          <w:rFonts w:hint="eastAsia" w:ascii="Calibri" w:hAnsi="Calibri" w:eastAsia="宋体" w:cs="Times New Roman"/>
          <w:i/>
          <w:sz w:val="24"/>
          <w:szCs w:val="24"/>
          <w:u w:val="single"/>
        </w:rPr>
        <w:t>名称</w:t>
      </w:r>
      <w:r>
        <w:rPr>
          <w:rFonts w:hint="eastAsia" w:ascii="Calibri" w:hAnsi="Calibri" w:eastAsia="宋体" w:cs="Times New Roman"/>
          <w:sz w:val="24"/>
          <w:szCs w:val="24"/>
        </w:rPr>
        <w:t>参加</w:t>
      </w:r>
      <w:r>
        <w:rPr>
          <w:rFonts w:hint="eastAsia" w:ascii="Calibri" w:hAnsi="Calibri" w:eastAsia="宋体" w:cs="Times New Roman"/>
          <w:i/>
          <w:sz w:val="24"/>
          <w:szCs w:val="24"/>
          <w:u w:val="single"/>
        </w:rPr>
        <w:t>项目名称</w:t>
      </w:r>
      <w:r>
        <w:rPr>
          <w:rFonts w:hint="eastAsia" w:ascii="Calibri" w:hAnsi="Calibri" w:eastAsia="宋体" w:cs="Times New Roman"/>
          <w:sz w:val="24"/>
          <w:szCs w:val="24"/>
        </w:rPr>
        <w:t>（项目编号：</w:t>
      </w:r>
      <w:r>
        <w:rPr>
          <w:rFonts w:hint="eastAsia" w:ascii="Calibri" w:hAnsi="Calibri" w:eastAsia="宋体" w:cs="Times New Roman"/>
          <w:i/>
          <w:sz w:val="24"/>
          <w:szCs w:val="24"/>
          <w:u w:val="single"/>
        </w:rPr>
        <w:t>项目编号</w:t>
      </w:r>
      <w:r>
        <w:rPr>
          <w:rFonts w:hint="eastAsia" w:ascii="Calibri" w:hAnsi="Calibri" w:eastAsia="宋体" w:cs="Times New Roman"/>
          <w:sz w:val="24"/>
          <w:szCs w:val="24"/>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053AA65B">
      <w:pPr>
        <w:spacing w:line="500" w:lineRule="exact"/>
        <w:ind w:firstLine="480"/>
        <w:jc w:val="left"/>
        <w:rPr>
          <w:rFonts w:ascii="Calibri" w:hAnsi="Calibri" w:eastAsia="宋体" w:cs="Times New Roman"/>
          <w:sz w:val="24"/>
          <w:szCs w:val="24"/>
        </w:rPr>
      </w:pPr>
      <w:r>
        <w:rPr>
          <w:rFonts w:hint="eastAsia" w:ascii="Calibri" w:hAnsi="Calibri" w:eastAsia="宋体" w:cs="Times New Roman"/>
          <w:sz w:val="24"/>
          <w:szCs w:val="24"/>
        </w:rPr>
        <w:t>（1）具有良好的商业信誉和健全的财务会计制度（财务状况报告）；</w:t>
      </w:r>
    </w:p>
    <w:p w14:paraId="2F6165C9">
      <w:pPr>
        <w:spacing w:line="500" w:lineRule="exact"/>
        <w:ind w:firstLine="480"/>
        <w:jc w:val="left"/>
        <w:rPr>
          <w:rFonts w:ascii="Calibri" w:hAnsi="Calibri" w:eastAsia="宋体" w:cs="Times New Roman"/>
          <w:sz w:val="24"/>
          <w:szCs w:val="24"/>
        </w:rPr>
      </w:pPr>
      <w:r>
        <w:rPr>
          <w:rFonts w:hint="eastAsia" w:ascii="Calibri" w:hAnsi="Calibri" w:eastAsia="宋体" w:cs="Times New Roman"/>
          <w:sz w:val="24"/>
          <w:szCs w:val="24"/>
        </w:rPr>
        <w:t>（2）有依法缴纳税收和社会保障资金的良好记录。</w:t>
      </w:r>
    </w:p>
    <w:p w14:paraId="3C6B7CA3">
      <w:pPr>
        <w:spacing w:line="500" w:lineRule="exact"/>
        <w:ind w:firstLine="480"/>
        <w:jc w:val="left"/>
        <w:rPr>
          <w:rFonts w:ascii="Calibri" w:hAnsi="Calibri" w:eastAsia="宋体" w:cs="Times New Roman"/>
          <w:sz w:val="24"/>
          <w:szCs w:val="24"/>
        </w:rPr>
      </w:pPr>
      <w:r>
        <w:rPr>
          <w:rFonts w:hint="eastAsia" w:ascii="Calibri" w:hAnsi="Calibri" w:eastAsia="宋体" w:cs="Times New Roman"/>
          <w:sz w:val="24"/>
          <w:szCs w:val="24"/>
        </w:rPr>
        <w:t>我方对上述承诺的真实性负责，如有虚假，将依法承担提供虚假材料谋取中标、成交责任，同时同意有关主管部门将相关失信信息记入公共信用信息系统并在相关政府门户网站公开。</w:t>
      </w:r>
    </w:p>
    <w:p w14:paraId="25AC3F50">
      <w:pPr>
        <w:spacing w:line="500" w:lineRule="exact"/>
        <w:ind w:firstLine="480"/>
        <w:jc w:val="left"/>
        <w:rPr>
          <w:rFonts w:ascii="Calibri" w:hAnsi="Calibri" w:eastAsia="宋体" w:cs="Times New Roman"/>
          <w:sz w:val="24"/>
          <w:szCs w:val="24"/>
        </w:rPr>
      </w:pPr>
      <w:r>
        <w:rPr>
          <w:rFonts w:hint="eastAsia" w:ascii="Calibri" w:hAnsi="Calibri" w:eastAsia="宋体" w:cs="Times New Roman"/>
          <w:sz w:val="24"/>
          <w:szCs w:val="24"/>
        </w:rPr>
        <w:t>特此承诺</w:t>
      </w:r>
    </w:p>
    <w:p w14:paraId="0B844E96">
      <w:pPr>
        <w:spacing w:line="500" w:lineRule="exact"/>
        <w:ind w:firstLine="480"/>
        <w:jc w:val="left"/>
        <w:rPr>
          <w:rFonts w:ascii="Calibri" w:hAnsi="Calibri" w:eastAsia="宋体" w:cs="Times New Roman"/>
          <w:sz w:val="24"/>
          <w:szCs w:val="24"/>
        </w:rPr>
      </w:pPr>
    </w:p>
    <w:p w14:paraId="2385753C">
      <w:pPr>
        <w:spacing w:line="500" w:lineRule="exact"/>
        <w:ind w:firstLine="480"/>
        <w:jc w:val="left"/>
        <w:rPr>
          <w:rFonts w:ascii="Calibri" w:hAnsi="Calibri" w:eastAsia="宋体" w:cs="Times New Roman"/>
          <w:sz w:val="24"/>
          <w:szCs w:val="24"/>
        </w:rPr>
      </w:pPr>
      <w:r>
        <w:rPr>
          <w:rFonts w:hint="eastAsia" w:ascii="Calibri" w:hAnsi="Calibri" w:eastAsia="宋体" w:cs="Times New Roman"/>
          <w:sz w:val="24"/>
          <w:szCs w:val="24"/>
        </w:rPr>
        <w:t>供应商（公章）：</w:t>
      </w:r>
    </w:p>
    <w:p w14:paraId="0ABA71AD">
      <w:pPr>
        <w:spacing w:line="500" w:lineRule="exact"/>
        <w:ind w:firstLine="480"/>
        <w:jc w:val="left"/>
        <w:rPr>
          <w:rFonts w:ascii="Calibri" w:hAnsi="Calibri" w:eastAsia="宋体" w:cs="Times New Roman"/>
          <w:sz w:val="24"/>
          <w:szCs w:val="24"/>
        </w:rPr>
      </w:pPr>
      <w:r>
        <w:rPr>
          <w:rFonts w:hint="eastAsia" w:ascii="Calibri" w:hAnsi="Calibri" w:eastAsia="宋体" w:cs="Times New Roman"/>
          <w:sz w:val="24"/>
          <w:szCs w:val="24"/>
        </w:rPr>
        <w:t>法定代表人</w:t>
      </w:r>
      <w:r>
        <w:rPr>
          <w:rFonts w:ascii="Calibri" w:hAnsi="Calibri" w:eastAsia="宋体" w:cs="Times New Roman"/>
          <w:sz w:val="24"/>
          <w:szCs w:val="24"/>
        </w:rPr>
        <w:t>（单位负责人）</w:t>
      </w:r>
      <w:r>
        <w:rPr>
          <w:rFonts w:hint="eastAsia" w:ascii="Calibri" w:hAnsi="Calibri" w:eastAsia="宋体" w:cs="Times New Roman"/>
          <w:sz w:val="24"/>
          <w:szCs w:val="24"/>
        </w:rPr>
        <w:t>或委托代理人（签名或签章）：</w:t>
      </w:r>
    </w:p>
    <w:p w14:paraId="6FED2F70">
      <w:pPr>
        <w:spacing w:line="500" w:lineRule="exact"/>
        <w:ind w:firstLine="480"/>
        <w:jc w:val="left"/>
        <w:rPr>
          <w:rFonts w:ascii="Calibri" w:hAnsi="Calibri" w:eastAsia="宋体" w:cs="Times New Roman"/>
          <w:sz w:val="24"/>
          <w:szCs w:val="24"/>
        </w:rPr>
      </w:pPr>
      <w:r>
        <w:rPr>
          <w:rFonts w:hint="eastAsia" w:ascii="Calibri" w:hAnsi="Calibri" w:eastAsia="宋体" w:cs="Times New Roman"/>
          <w:sz w:val="24"/>
          <w:szCs w:val="24"/>
        </w:rPr>
        <w:t>日期：    年     月     日</w:t>
      </w:r>
    </w:p>
    <w:p w14:paraId="123B5E89"/>
    <w:p w14:paraId="66C58C8C"/>
    <w:p w14:paraId="06FE74BE">
      <w:pPr>
        <w:keepNext/>
        <w:keepLines/>
        <w:spacing w:before="360" w:after="200" w:line="360" w:lineRule="auto"/>
        <w:jc w:val="left"/>
        <w:outlineLvl w:val="1"/>
        <w:rPr>
          <w:rFonts w:ascii="Arial" w:hAnsi="Arial" w:eastAsia="宋体" w:cs="Arial"/>
          <w:i/>
          <w:iCs/>
          <w:sz w:val="36"/>
          <w:u w:val="single"/>
        </w:rPr>
      </w:pPr>
      <w:r>
        <w:rPr>
          <w:rFonts w:hint="eastAsia" w:ascii="Arial" w:hAnsi="Arial" w:eastAsia="宋体" w:cs="Arial"/>
          <w:i/>
          <w:iCs/>
          <w:sz w:val="36"/>
          <w:u w:val="single"/>
        </w:rPr>
        <w:t>四、具备履行合同所必需的设备和专业技术能力的声明及证明材料</w:t>
      </w:r>
    </w:p>
    <w:p w14:paraId="4E9B06C3">
      <w:pPr>
        <w:spacing w:line="460" w:lineRule="exact"/>
        <w:jc w:val="center"/>
        <w:rPr>
          <w:rFonts w:ascii="Calibri" w:hAnsi="Calibri" w:eastAsia="宋体" w:cs="Times New Roman"/>
          <w:sz w:val="24"/>
          <w:szCs w:val="24"/>
        </w:rPr>
      </w:pPr>
      <w:r>
        <w:rPr>
          <w:rFonts w:hint="eastAsia" w:ascii="黑体" w:hAnsi="黑体" w:eastAsia="黑体" w:cs="宋体"/>
          <w:bCs/>
          <w:sz w:val="36"/>
          <w:szCs w:val="28"/>
        </w:rPr>
        <w:t>具备履行合同所必需的设备和专业技术能力的声明及证明材料</w:t>
      </w:r>
    </w:p>
    <w:p w14:paraId="78CF997B">
      <w:pPr>
        <w:spacing w:line="500" w:lineRule="exact"/>
        <w:ind w:firstLine="480"/>
        <w:jc w:val="left"/>
        <w:rPr>
          <w:rFonts w:ascii="Calibri" w:hAnsi="Calibri" w:eastAsia="宋体" w:cs="Times New Roman"/>
          <w:sz w:val="24"/>
          <w:szCs w:val="24"/>
        </w:rPr>
      </w:pPr>
      <w:r>
        <w:rPr>
          <w:rFonts w:hint="eastAsia" w:ascii="Calibri" w:hAnsi="Calibri" w:eastAsia="宋体" w:cs="Times New Roman"/>
          <w:sz w:val="24"/>
          <w:szCs w:val="24"/>
        </w:rPr>
        <w:t>我单位郑重声明：我单位具备履行本项采购合同所必需的设备和专业技术能力，为履行本项采购合同我公司具备如下主要设备和主要专业技术能力：</w:t>
      </w:r>
    </w:p>
    <w:p w14:paraId="14F518D2">
      <w:pPr>
        <w:spacing w:line="360" w:lineRule="auto"/>
        <w:ind w:firstLine="480"/>
        <w:rPr>
          <w:rFonts w:ascii="Calibri" w:hAnsi="Calibri" w:eastAsia="宋体" w:cs="Times New Roman"/>
          <w:sz w:val="24"/>
          <w:szCs w:val="24"/>
        </w:rPr>
      </w:pPr>
      <w:r>
        <w:rPr>
          <w:rFonts w:hint="eastAsia" w:ascii="Calibri" w:hAnsi="Calibri" w:eastAsia="宋体" w:cs="Times New Roman"/>
          <w:sz w:val="24"/>
          <w:szCs w:val="24"/>
        </w:rPr>
        <w:t>主要设备有：</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。（须附证明材料）</w:t>
      </w:r>
    </w:p>
    <w:p w14:paraId="4EA5FD6D">
      <w:pPr>
        <w:jc w:val="left"/>
        <w:rPr>
          <w:rFonts w:ascii="Calibri" w:hAnsi="Calibri" w:eastAsia="宋体" w:cs="Times New Roman"/>
          <w:sz w:val="24"/>
          <w:szCs w:val="24"/>
        </w:rPr>
      </w:pPr>
    </w:p>
    <w:p w14:paraId="507B6775">
      <w:pPr>
        <w:spacing w:line="360" w:lineRule="auto"/>
        <w:ind w:firstLine="480"/>
        <w:rPr>
          <w:rFonts w:ascii="Calibri" w:hAnsi="Calibri" w:eastAsia="宋体" w:cs="Times New Roman"/>
          <w:sz w:val="24"/>
          <w:szCs w:val="24"/>
        </w:rPr>
      </w:pPr>
      <w:r>
        <w:rPr>
          <w:rFonts w:hint="eastAsia" w:ascii="Calibri" w:hAnsi="Calibri" w:eastAsia="宋体" w:cs="Times New Roman"/>
          <w:sz w:val="24"/>
          <w:szCs w:val="24"/>
        </w:rPr>
        <w:t>主要专业技术能力有：</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。（须附证明材料）</w:t>
      </w:r>
    </w:p>
    <w:p w14:paraId="52F524CE">
      <w:pPr>
        <w:spacing w:line="360" w:lineRule="auto"/>
        <w:ind w:firstLine="480"/>
        <w:rPr>
          <w:rFonts w:ascii="Calibri" w:hAnsi="Calibri" w:eastAsia="宋体" w:cs="Times New Roman"/>
          <w:sz w:val="24"/>
          <w:szCs w:val="24"/>
        </w:rPr>
      </w:pPr>
    </w:p>
    <w:p w14:paraId="585D919F">
      <w:pPr>
        <w:spacing w:line="360" w:lineRule="auto"/>
        <w:ind w:firstLine="480"/>
        <w:rPr>
          <w:rFonts w:ascii="Calibri" w:hAnsi="Calibri" w:eastAsia="宋体" w:cs="Times New Roman"/>
          <w:sz w:val="24"/>
          <w:szCs w:val="24"/>
        </w:rPr>
      </w:pPr>
    </w:p>
    <w:p w14:paraId="57043A92">
      <w:pPr>
        <w:spacing w:line="360" w:lineRule="auto"/>
        <w:ind w:firstLine="480"/>
        <w:rPr>
          <w:rFonts w:ascii="Calibri" w:hAnsi="Calibri" w:eastAsia="宋体" w:cs="Times New Roman"/>
          <w:sz w:val="24"/>
          <w:szCs w:val="24"/>
        </w:rPr>
      </w:pPr>
      <w:r>
        <w:rPr>
          <w:rFonts w:hint="eastAsia" w:ascii="Calibri" w:hAnsi="Calibri" w:eastAsia="宋体" w:cs="Times New Roman"/>
          <w:sz w:val="24"/>
          <w:szCs w:val="24"/>
        </w:rPr>
        <w:t>供应商（盖章）：</w:t>
      </w:r>
    </w:p>
    <w:p w14:paraId="67FC64D2">
      <w:pPr>
        <w:spacing w:line="360" w:lineRule="auto"/>
        <w:ind w:firstLine="480"/>
        <w:rPr>
          <w:rFonts w:ascii="Calibri" w:hAnsi="Calibri" w:eastAsia="宋体" w:cs="Times New Roman"/>
          <w:sz w:val="24"/>
          <w:szCs w:val="24"/>
        </w:rPr>
      </w:pPr>
      <w:r>
        <w:rPr>
          <w:rFonts w:hint="eastAsia" w:ascii="Calibri" w:hAnsi="Calibri" w:eastAsia="宋体" w:cs="Times New Roman"/>
          <w:sz w:val="24"/>
          <w:szCs w:val="24"/>
        </w:rPr>
        <w:t>法定代表人</w:t>
      </w:r>
      <w:r>
        <w:rPr>
          <w:rFonts w:ascii="Calibri" w:hAnsi="Calibri" w:eastAsia="宋体" w:cs="Times New Roman"/>
          <w:sz w:val="24"/>
          <w:szCs w:val="24"/>
        </w:rPr>
        <w:t>（单位负责人）</w:t>
      </w:r>
      <w:r>
        <w:rPr>
          <w:rFonts w:hint="eastAsia" w:ascii="Calibri" w:hAnsi="Calibri" w:eastAsia="宋体" w:cs="Times New Roman"/>
          <w:sz w:val="24"/>
          <w:szCs w:val="24"/>
        </w:rPr>
        <w:t>或委托代理人（签字或盖章）：</w:t>
      </w:r>
    </w:p>
    <w:p w14:paraId="0BA7693A">
      <w:pPr>
        <w:spacing w:line="360" w:lineRule="auto"/>
        <w:ind w:firstLine="480"/>
        <w:rPr>
          <w:rFonts w:ascii="Calibri" w:hAnsi="Calibri" w:eastAsia="宋体" w:cs="Times New Roman"/>
          <w:sz w:val="24"/>
          <w:szCs w:val="24"/>
        </w:rPr>
      </w:pPr>
      <w:r>
        <w:rPr>
          <w:rFonts w:hint="eastAsia" w:ascii="Calibri" w:hAnsi="Calibri" w:eastAsia="宋体" w:cs="Times New Roman"/>
          <w:sz w:val="24"/>
          <w:szCs w:val="24"/>
        </w:rPr>
        <w:t>日期：    年     月     日</w:t>
      </w:r>
    </w:p>
    <w:p w14:paraId="4A4897F5">
      <w:pPr>
        <w:jc w:val="left"/>
        <w:rPr>
          <w:rFonts w:ascii="MS Mincho" w:hAnsi="Calibri" w:eastAsia="宋体" w:cs="Times New Roman"/>
          <w:color w:val="000000"/>
          <w:szCs w:val="24"/>
        </w:rPr>
      </w:pPr>
    </w:p>
    <w:p w14:paraId="691B1AA3">
      <w:pPr>
        <w:spacing w:line="360" w:lineRule="auto"/>
        <w:ind w:firstLine="48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附主要设备和主要专业技术能力的证明材料如下：</w:t>
      </w:r>
    </w:p>
    <w:p w14:paraId="4611B032">
      <w:pPr>
        <w:spacing w:line="360" w:lineRule="auto"/>
        <w:jc w:val="left"/>
        <w:rPr>
          <w:rFonts w:ascii="Times New Roman" w:hAnsi="Times New Roman" w:eastAsia="宋体" w:cs="Times New Roman"/>
          <w:color w:val="000000"/>
          <w:sz w:val="24"/>
          <w:szCs w:val="24"/>
        </w:rPr>
      </w:pPr>
    </w:p>
    <w:p w14:paraId="08713078">
      <w:pPr>
        <w:spacing w:line="360" w:lineRule="auto"/>
        <w:jc w:val="left"/>
        <w:rPr>
          <w:rFonts w:ascii="Times New Roman" w:hAnsi="Times New Roman" w:eastAsia="宋体" w:cs="Times New Roman"/>
          <w:color w:val="000000"/>
          <w:sz w:val="24"/>
          <w:szCs w:val="24"/>
        </w:rPr>
      </w:pPr>
    </w:p>
    <w:p w14:paraId="179E4BE1">
      <w:pPr>
        <w:keepNext/>
        <w:keepLines/>
        <w:spacing w:before="360" w:after="200" w:line="360" w:lineRule="auto"/>
        <w:jc w:val="left"/>
        <w:outlineLvl w:val="1"/>
        <w:rPr>
          <w:rFonts w:ascii="Arial" w:hAnsi="Arial" w:eastAsia="宋体" w:cs="Arial"/>
          <w:i/>
          <w:iCs/>
          <w:sz w:val="36"/>
          <w:u w:val="single"/>
        </w:rPr>
      </w:pPr>
    </w:p>
    <w:p w14:paraId="0762CB41">
      <w:pPr>
        <w:keepNext/>
        <w:keepLines/>
        <w:spacing w:before="360" w:after="200" w:line="360" w:lineRule="auto"/>
        <w:jc w:val="left"/>
        <w:outlineLvl w:val="1"/>
        <w:rPr>
          <w:rFonts w:ascii="Arial" w:hAnsi="Arial" w:eastAsia="宋体" w:cs="Arial"/>
          <w:i/>
          <w:iCs/>
          <w:sz w:val="36"/>
          <w:u w:val="single"/>
        </w:rPr>
      </w:pPr>
      <w:r>
        <w:rPr>
          <w:rFonts w:hint="eastAsia" w:ascii="Arial" w:hAnsi="Arial" w:eastAsia="宋体" w:cs="Arial"/>
          <w:i/>
          <w:iCs/>
          <w:sz w:val="36"/>
          <w:u w:val="single"/>
        </w:rPr>
        <w:t>五、参加政府采购活动前3年内在经营活动中没有重大违法记录的书面声明</w:t>
      </w:r>
    </w:p>
    <w:p w14:paraId="3C33849E">
      <w:pPr>
        <w:spacing w:line="460" w:lineRule="exact"/>
        <w:jc w:val="center"/>
        <w:rPr>
          <w:rFonts w:ascii="宋体" w:hAnsi="宋体" w:eastAsia="宋体" w:cs="Times New Roman"/>
          <w:b/>
          <w:bCs/>
          <w:color w:val="000000"/>
          <w:sz w:val="44"/>
          <w:szCs w:val="44"/>
        </w:rPr>
      </w:pPr>
      <w:r>
        <w:rPr>
          <w:rFonts w:hint="eastAsia" w:ascii="黑体" w:hAnsi="黑体" w:eastAsia="黑体" w:cs="宋体"/>
          <w:bCs/>
          <w:sz w:val="36"/>
          <w:szCs w:val="28"/>
        </w:rPr>
        <w:t>声  明</w:t>
      </w:r>
    </w:p>
    <w:p w14:paraId="6A26B8C5">
      <w:pPr>
        <w:spacing w:line="500" w:lineRule="exact"/>
        <w:ind w:firstLine="480"/>
        <w:jc w:val="left"/>
        <w:rPr>
          <w:rFonts w:ascii="Calibri" w:hAnsi="Calibri" w:eastAsia="宋体" w:cs="Times New Roman"/>
          <w:sz w:val="24"/>
          <w:szCs w:val="24"/>
        </w:rPr>
      </w:pPr>
      <w:r>
        <w:rPr>
          <w:rFonts w:hint="eastAsia" w:ascii="Calibri" w:hAnsi="Calibri" w:eastAsia="宋体" w:cs="Times New Roman"/>
          <w:sz w:val="24"/>
          <w:szCs w:val="24"/>
        </w:rPr>
        <w:t>我单位郑重声明：参加本次政府采购活动前 3 年内，我单位在经营活动中没有因违法经营受到刑事处罚或者责令停产停业、吊销许可证或者执照、较大数额罚款等行政处罚。</w:t>
      </w:r>
    </w:p>
    <w:p w14:paraId="752544F2">
      <w:pPr>
        <w:spacing w:line="500" w:lineRule="exact"/>
        <w:ind w:firstLine="480"/>
        <w:jc w:val="left"/>
        <w:rPr>
          <w:rFonts w:ascii="Calibri" w:hAnsi="Calibri" w:eastAsia="宋体" w:cs="Times New Roman"/>
          <w:sz w:val="24"/>
          <w:szCs w:val="24"/>
        </w:rPr>
      </w:pPr>
    </w:p>
    <w:p w14:paraId="151CD453">
      <w:pPr>
        <w:spacing w:line="500" w:lineRule="exact"/>
        <w:ind w:firstLine="480"/>
        <w:jc w:val="left"/>
        <w:rPr>
          <w:rFonts w:ascii="Calibri" w:hAnsi="Calibri" w:eastAsia="宋体" w:cs="Times New Roman"/>
          <w:sz w:val="24"/>
          <w:szCs w:val="24"/>
        </w:rPr>
      </w:pPr>
      <w:r>
        <w:rPr>
          <w:rFonts w:hint="eastAsia" w:ascii="Calibri" w:hAnsi="Calibri" w:eastAsia="宋体" w:cs="Times New Roman"/>
          <w:sz w:val="24"/>
          <w:szCs w:val="24"/>
        </w:rPr>
        <w:t>供应商（盖章）：</w:t>
      </w:r>
    </w:p>
    <w:p w14:paraId="5BBFE9BE">
      <w:pPr>
        <w:spacing w:line="500" w:lineRule="exact"/>
        <w:ind w:firstLine="480"/>
        <w:jc w:val="left"/>
        <w:rPr>
          <w:rFonts w:ascii="Calibri" w:hAnsi="Calibri" w:eastAsia="宋体" w:cs="Times New Roman"/>
          <w:sz w:val="24"/>
          <w:szCs w:val="24"/>
        </w:rPr>
      </w:pPr>
      <w:r>
        <w:rPr>
          <w:rFonts w:hint="eastAsia" w:ascii="Calibri" w:hAnsi="Calibri" w:eastAsia="宋体" w:cs="Times New Roman"/>
          <w:sz w:val="24"/>
          <w:szCs w:val="24"/>
        </w:rPr>
        <w:t>法定代表人</w:t>
      </w:r>
      <w:r>
        <w:rPr>
          <w:rFonts w:ascii="Calibri" w:hAnsi="Calibri" w:eastAsia="宋体" w:cs="Times New Roman"/>
          <w:sz w:val="24"/>
          <w:szCs w:val="24"/>
        </w:rPr>
        <w:t>（单位负责人）</w:t>
      </w:r>
      <w:r>
        <w:rPr>
          <w:rFonts w:hint="eastAsia" w:ascii="Calibri" w:hAnsi="Calibri" w:eastAsia="宋体" w:cs="Times New Roman"/>
          <w:sz w:val="24"/>
          <w:szCs w:val="24"/>
        </w:rPr>
        <w:t>或委托代理人（签字或盖章）：</w:t>
      </w:r>
    </w:p>
    <w:p w14:paraId="236ABD21">
      <w:pPr>
        <w:spacing w:line="500" w:lineRule="exact"/>
        <w:ind w:firstLine="480"/>
        <w:jc w:val="left"/>
        <w:rPr>
          <w:rFonts w:ascii="Calibri" w:hAnsi="Calibri" w:eastAsia="宋体" w:cs="Times New Roman"/>
          <w:sz w:val="24"/>
          <w:szCs w:val="24"/>
        </w:rPr>
      </w:pPr>
      <w:r>
        <w:rPr>
          <w:rFonts w:hint="eastAsia" w:ascii="Calibri" w:hAnsi="Calibri" w:eastAsia="宋体" w:cs="Times New Roman"/>
          <w:sz w:val="24"/>
          <w:szCs w:val="24"/>
        </w:rPr>
        <w:t>日期：    年     月     日</w:t>
      </w:r>
    </w:p>
    <w:p w14:paraId="7AA2637A"/>
    <w:p w14:paraId="082B499B"/>
    <w:p w14:paraId="2EC5A735">
      <w:pPr>
        <w:keepNext/>
        <w:keepLines/>
        <w:spacing w:before="360" w:after="200" w:line="360" w:lineRule="auto"/>
        <w:jc w:val="left"/>
        <w:outlineLvl w:val="1"/>
        <w:rPr>
          <w:rFonts w:ascii="Arial" w:hAnsi="Arial" w:eastAsia="宋体" w:cs="Arial"/>
          <w:i/>
          <w:iCs/>
          <w:sz w:val="36"/>
          <w:u w:val="single"/>
        </w:rPr>
      </w:pPr>
      <w:r>
        <w:rPr>
          <w:rFonts w:hint="eastAsia" w:ascii="Arial" w:hAnsi="Arial" w:eastAsia="宋体" w:cs="Arial"/>
          <w:i/>
          <w:iCs/>
          <w:sz w:val="36"/>
          <w:u w:val="single"/>
        </w:rPr>
        <w:t>六、法律、行政法规规定的其他条件的证明文件</w:t>
      </w:r>
    </w:p>
    <w:p w14:paraId="38BCB826">
      <w:pPr>
        <w:spacing w:line="500" w:lineRule="exact"/>
        <w:ind w:firstLine="480"/>
        <w:jc w:val="left"/>
        <w:rPr>
          <w:rFonts w:ascii="Calibri" w:hAnsi="Calibri" w:eastAsia="宋体" w:cs="Times New Roman"/>
          <w:sz w:val="24"/>
          <w:szCs w:val="24"/>
        </w:rPr>
      </w:pPr>
      <w:r>
        <w:rPr>
          <w:rFonts w:hint="eastAsia" w:ascii="Calibri" w:hAnsi="Calibri" w:eastAsia="宋体" w:cs="Times New Roman"/>
          <w:sz w:val="24"/>
          <w:szCs w:val="24"/>
        </w:rPr>
        <w:t>（如有，请按要求提供）</w:t>
      </w:r>
    </w:p>
    <w:p w14:paraId="449A9B02"/>
    <w:p w14:paraId="3BD2B95F"/>
    <w:p w14:paraId="69F18AF7">
      <w:pPr>
        <w:keepNext/>
        <w:keepLines/>
        <w:spacing w:before="360" w:after="200" w:line="360" w:lineRule="auto"/>
        <w:jc w:val="left"/>
        <w:outlineLvl w:val="1"/>
        <w:rPr>
          <w:rFonts w:ascii="Arial" w:hAnsi="Arial" w:eastAsia="宋体" w:cs="Arial"/>
          <w:i/>
          <w:iCs/>
          <w:sz w:val="36"/>
          <w:u w:val="single"/>
        </w:rPr>
      </w:pPr>
      <w:r>
        <w:rPr>
          <w:rFonts w:hint="eastAsia" w:ascii="Arial" w:hAnsi="Arial" w:eastAsia="宋体" w:cs="Arial"/>
          <w:i/>
          <w:iCs/>
          <w:sz w:val="36"/>
          <w:u w:val="single"/>
        </w:rPr>
        <w:t>七 、落实政府采购政策需满足的资格要求的证明文件</w:t>
      </w:r>
    </w:p>
    <w:p w14:paraId="687981B2">
      <w:pPr>
        <w:spacing w:line="500" w:lineRule="exact"/>
        <w:ind w:firstLine="480"/>
        <w:jc w:val="left"/>
        <w:rPr>
          <w:rFonts w:ascii="Calibri" w:hAnsi="Calibri" w:eastAsia="宋体" w:cs="Times New Roman"/>
          <w:sz w:val="24"/>
          <w:szCs w:val="24"/>
        </w:rPr>
      </w:pPr>
      <w:r>
        <w:rPr>
          <w:rFonts w:hint="eastAsia" w:ascii="Calibri" w:hAnsi="Calibri" w:eastAsia="宋体" w:cs="Times New Roman"/>
          <w:sz w:val="24"/>
          <w:szCs w:val="24"/>
        </w:rPr>
        <w:t>（如有，请按要求提供）</w:t>
      </w:r>
    </w:p>
    <w:p w14:paraId="684E8FE9"/>
    <w:p w14:paraId="6C5248AE"/>
    <w:p w14:paraId="7C85B61C">
      <w:pPr>
        <w:keepNext/>
        <w:keepLines/>
        <w:spacing w:before="360" w:after="200" w:line="360" w:lineRule="auto"/>
        <w:jc w:val="left"/>
        <w:outlineLvl w:val="1"/>
        <w:rPr>
          <w:rFonts w:ascii="Arial" w:hAnsi="Arial" w:eastAsia="宋体" w:cs="Arial"/>
          <w:i/>
          <w:iCs/>
          <w:sz w:val="36"/>
          <w:u w:val="single"/>
        </w:rPr>
      </w:pPr>
      <w:r>
        <w:rPr>
          <w:rFonts w:hint="eastAsia" w:ascii="Arial" w:hAnsi="Arial" w:eastAsia="宋体" w:cs="Arial"/>
          <w:i/>
          <w:iCs/>
          <w:sz w:val="36"/>
          <w:u w:val="single"/>
        </w:rPr>
        <w:t>八、特定资格要求的证明文件</w:t>
      </w:r>
    </w:p>
    <w:p w14:paraId="4B70B453">
      <w:pPr>
        <w:spacing w:line="500" w:lineRule="exact"/>
        <w:ind w:firstLine="480"/>
        <w:jc w:val="left"/>
        <w:rPr>
          <w:rFonts w:ascii="Calibri" w:hAnsi="Calibri" w:eastAsia="宋体" w:cs="Times New Roman"/>
          <w:sz w:val="24"/>
          <w:szCs w:val="24"/>
        </w:rPr>
      </w:pPr>
      <w:r>
        <w:rPr>
          <w:rFonts w:hint="eastAsia" w:ascii="Calibri" w:hAnsi="Calibri" w:eastAsia="宋体" w:cs="Times New Roman"/>
          <w:sz w:val="24"/>
          <w:szCs w:val="24"/>
        </w:rPr>
        <w:t>（如有，请按要求提供）</w:t>
      </w:r>
    </w:p>
    <w:p w14:paraId="66EDE0A3"/>
    <w:p w14:paraId="3B32FAE9">
      <w:pPr>
        <w:keepNext/>
        <w:keepLines/>
        <w:spacing w:before="360" w:after="200" w:line="360" w:lineRule="auto"/>
        <w:jc w:val="left"/>
        <w:outlineLvl w:val="1"/>
        <w:rPr>
          <w:rFonts w:ascii="Arial" w:hAnsi="Arial" w:eastAsia="宋体" w:cs="Arial"/>
          <w:i/>
          <w:iCs/>
          <w:sz w:val="36"/>
          <w:u w:val="single"/>
        </w:rPr>
      </w:pPr>
      <w:r>
        <w:rPr>
          <w:rFonts w:hint="eastAsia" w:ascii="Arial" w:hAnsi="Arial" w:eastAsia="宋体" w:cs="Arial"/>
          <w:i/>
          <w:iCs/>
          <w:sz w:val="36"/>
          <w:u w:val="single"/>
        </w:rPr>
        <w:t>九、授权委托书与法定代表人（单位负责人）身份证明</w:t>
      </w:r>
    </w:p>
    <w:p w14:paraId="51AD2DF5">
      <w:pPr>
        <w:spacing w:line="360" w:lineRule="exact"/>
        <w:jc w:val="center"/>
        <w:rPr>
          <w:rFonts w:ascii="宋体" w:hAnsi="宋体" w:eastAsia="宋体" w:cs="Times New Roman"/>
          <w:b/>
          <w:color w:val="000000"/>
          <w:sz w:val="36"/>
          <w:szCs w:val="36"/>
        </w:rPr>
      </w:pPr>
    </w:p>
    <w:p w14:paraId="2D6CD371">
      <w:pPr>
        <w:spacing w:line="360" w:lineRule="exact"/>
        <w:jc w:val="center"/>
        <w:rPr>
          <w:rFonts w:ascii="宋体" w:hAnsi="宋体" w:eastAsia="宋体" w:cs="Times New Roman"/>
          <w:b/>
          <w:color w:val="000000"/>
          <w:sz w:val="36"/>
          <w:szCs w:val="36"/>
        </w:rPr>
      </w:pPr>
      <w:r>
        <w:rPr>
          <w:rFonts w:hint="eastAsia" w:ascii="宋体" w:hAnsi="宋体" w:eastAsia="宋体" w:cs="Times New Roman"/>
          <w:b/>
          <w:color w:val="000000"/>
          <w:sz w:val="36"/>
          <w:szCs w:val="36"/>
        </w:rPr>
        <w:t>授权委托书</w:t>
      </w:r>
    </w:p>
    <w:p w14:paraId="4284D114">
      <w:pPr>
        <w:spacing w:line="360" w:lineRule="auto"/>
        <w:rPr>
          <w:rFonts w:ascii="Calibri" w:hAnsi="Calibri" w:eastAsia="宋体" w:cs="Times New Roman"/>
          <w:sz w:val="24"/>
          <w:szCs w:val="24"/>
        </w:rPr>
      </w:pPr>
      <w:r>
        <w:rPr>
          <w:rFonts w:ascii="Calibri" w:hAnsi="Calibri" w:eastAsia="宋体" w:cs="Times New Roman"/>
          <w:sz w:val="24"/>
          <w:szCs w:val="24"/>
        </w:rPr>
        <w:t>致：</w:t>
      </w:r>
      <w:r>
        <w:rPr>
          <w:rFonts w:hint="eastAsia" w:ascii="Calibri" w:hAnsi="Calibri" w:eastAsia="宋体" w:cs="Times New Roman"/>
          <w:sz w:val="24"/>
          <w:szCs w:val="24"/>
          <w:u w:val="single"/>
        </w:rPr>
        <w:t>采购单位</w:t>
      </w:r>
    </w:p>
    <w:p w14:paraId="3B9805A7">
      <w:pPr>
        <w:spacing w:line="360" w:lineRule="auto"/>
        <w:ind w:firstLine="420"/>
        <w:jc w:val="left"/>
        <w:rPr>
          <w:rFonts w:ascii="Calibri" w:hAnsi="Calibri" w:eastAsia="宋体" w:cs="Times New Roman"/>
          <w:sz w:val="24"/>
          <w:szCs w:val="24"/>
        </w:rPr>
      </w:pPr>
      <w:r>
        <w:rPr>
          <w:rFonts w:hint="eastAsia" w:ascii="Calibri" w:hAnsi="Calibri" w:eastAsia="宋体" w:cs="Times New Roman"/>
          <w:sz w:val="24"/>
          <w:szCs w:val="24"/>
        </w:rPr>
        <w:t>本人</w:t>
      </w:r>
      <w:r>
        <w:rPr>
          <w:rFonts w:hint="eastAsia" w:ascii="Calibri" w:hAnsi="Calibri" w:eastAsia="宋体" w:cs="Times New Roman"/>
          <w:sz w:val="24"/>
          <w:szCs w:val="24"/>
          <w:u w:val="single"/>
        </w:rPr>
        <w:t xml:space="preserve"> </w:t>
      </w:r>
      <w:r>
        <w:rPr>
          <w:rFonts w:ascii="Calibri" w:hAnsi="Calibri" w:eastAsia="宋体" w:cs="Times New Roman"/>
          <w:sz w:val="24"/>
          <w:szCs w:val="24"/>
          <w:u w:val="single"/>
        </w:rPr>
        <w:t>（</w:t>
      </w:r>
      <w:r>
        <w:rPr>
          <w:rFonts w:hint="eastAsia" w:ascii="Calibri" w:hAnsi="Calibri" w:eastAsia="宋体" w:cs="Times New Roman"/>
          <w:sz w:val="24"/>
          <w:szCs w:val="24"/>
          <w:u w:val="single"/>
        </w:rPr>
        <w:t>姓名</w:t>
      </w:r>
      <w:r>
        <w:rPr>
          <w:rFonts w:ascii="Calibri" w:hAnsi="Calibri" w:eastAsia="宋体" w:cs="Times New Roman"/>
          <w:sz w:val="24"/>
          <w:szCs w:val="24"/>
          <w:u w:val="single"/>
        </w:rPr>
        <w:t>）</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系</w:t>
      </w:r>
      <w:r>
        <w:rPr>
          <w:rFonts w:hint="eastAsia" w:ascii="Calibri" w:hAnsi="Calibri" w:eastAsia="宋体" w:cs="Times New Roman"/>
          <w:sz w:val="24"/>
          <w:szCs w:val="24"/>
          <w:u w:val="single"/>
        </w:rPr>
        <w:t xml:space="preserve"> </w:t>
      </w:r>
      <w:r>
        <w:rPr>
          <w:rFonts w:ascii="Calibri" w:hAnsi="Calibri" w:eastAsia="宋体" w:cs="Times New Roman"/>
          <w:sz w:val="24"/>
          <w:szCs w:val="24"/>
          <w:u w:val="single"/>
        </w:rPr>
        <w:t>（</w:t>
      </w:r>
      <w:r>
        <w:rPr>
          <w:rFonts w:hint="eastAsia" w:ascii="Calibri" w:hAnsi="Calibri" w:eastAsia="宋体" w:cs="Times New Roman"/>
          <w:sz w:val="24"/>
          <w:szCs w:val="24"/>
          <w:u w:val="single"/>
        </w:rPr>
        <w:t>供应商</w:t>
      </w:r>
      <w:r>
        <w:rPr>
          <w:rFonts w:ascii="Calibri" w:hAnsi="Calibri" w:eastAsia="宋体" w:cs="Times New Roman"/>
          <w:sz w:val="24"/>
          <w:szCs w:val="24"/>
          <w:u w:val="single"/>
        </w:rPr>
        <w:t>名称）</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的</w:t>
      </w:r>
      <w:r>
        <w:rPr>
          <w:rFonts w:ascii="Calibri" w:hAnsi="Calibri" w:eastAsia="宋体" w:cs="Times New Roman"/>
          <w:sz w:val="24"/>
          <w:szCs w:val="24"/>
        </w:rPr>
        <w:t>法定代表人（</w:t>
      </w:r>
      <w:r>
        <w:rPr>
          <w:rFonts w:hint="eastAsia" w:ascii="Calibri" w:hAnsi="Calibri" w:eastAsia="宋体" w:cs="Times New Roman"/>
          <w:sz w:val="24"/>
          <w:szCs w:val="24"/>
        </w:rPr>
        <w:t>单位</w:t>
      </w:r>
      <w:r>
        <w:rPr>
          <w:rFonts w:ascii="Calibri" w:hAnsi="Calibri" w:eastAsia="宋体" w:cs="Times New Roman"/>
          <w:sz w:val="24"/>
          <w:szCs w:val="24"/>
        </w:rPr>
        <w:t>负责人）</w:t>
      </w:r>
      <w:r>
        <w:rPr>
          <w:rFonts w:hint="eastAsia" w:ascii="Calibri" w:hAnsi="Calibri" w:eastAsia="宋体" w:cs="Times New Roman"/>
          <w:sz w:val="24"/>
          <w:szCs w:val="24"/>
        </w:rPr>
        <w:t>，</w:t>
      </w:r>
      <w:r>
        <w:rPr>
          <w:rFonts w:ascii="Calibri" w:hAnsi="Calibri" w:eastAsia="宋体" w:cs="Times New Roman"/>
          <w:sz w:val="24"/>
          <w:szCs w:val="24"/>
        </w:rPr>
        <w:t>现委托</w:t>
      </w:r>
      <w:r>
        <w:rPr>
          <w:rFonts w:hint="eastAsia" w:ascii="Calibri" w:hAnsi="Calibri" w:eastAsia="宋体" w:cs="Times New Roman"/>
          <w:sz w:val="24"/>
          <w:szCs w:val="24"/>
          <w:u w:val="single"/>
        </w:rPr>
        <w:t xml:space="preserve"> （姓名</w:t>
      </w:r>
      <w:r>
        <w:rPr>
          <w:rFonts w:ascii="Calibri" w:hAnsi="Calibri" w:eastAsia="宋体" w:cs="Times New Roman"/>
          <w:sz w:val="24"/>
          <w:szCs w:val="24"/>
          <w:u w:val="single"/>
        </w:rPr>
        <w:t>）</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为</w:t>
      </w:r>
      <w:r>
        <w:rPr>
          <w:rFonts w:ascii="Calibri" w:hAnsi="Calibri" w:eastAsia="宋体" w:cs="Times New Roman"/>
          <w:sz w:val="24"/>
          <w:szCs w:val="24"/>
        </w:rPr>
        <w:t>我方代理人。</w:t>
      </w:r>
      <w:r>
        <w:rPr>
          <w:rFonts w:hint="eastAsia" w:ascii="Calibri" w:hAnsi="Calibri" w:eastAsia="宋体" w:cs="Times New Roman"/>
          <w:sz w:val="24"/>
          <w:szCs w:val="24"/>
        </w:rPr>
        <w:t>代理人根据</w:t>
      </w:r>
      <w:r>
        <w:rPr>
          <w:rFonts w:ascii="Calibri" w:hAnsi="Calibri" w:eastAsia="宋体" w:cs="Times New Roman"/>
          <w:sz w:val="24"/>
          <w:szCs w:val="24"/>
        </w:rPr>
        <w:t>授权，以我方名义签署、澄清确认、提交、撤回、修改</w:t>
      </w:r>
      <w:r>
        <w:rPr>
          <w:rFonts w:hint="eastAsia" w:ascii="Calibri" w:hAnsi="Calibri" w:eastAsia="宋体" w:cs="Times New Roman"/>
          <w:sz w:val="24"/>
          <w:szCs w:val="24"/>
          <w:u w:val="single"/>
        </w:rPr>
        <w:t xml:space="preserve"> （项目名称） </w:t>
      </w:r>
      <w:r>
        <w:rPr>
          <w:rFonts w:hint="eastAsia" w:ascii="Calibri" w:hAnsi="Calibri" w:eastAsia="宋体" w:cs="Times New Roman"/>
          <w:sz w:val="24"/>
          <w:szCs w:val="24"/>
        </w:rPr>
        <w:t>项目（项目编号：</w:t>
      </w:r>
      <w:r>
        <w:rPr>
          <w:rFonts w:hint="eastAsia" w:ascii="Calibri" w:hAnsi="Calibri" w:eastAsia="宋体" w:cs="Times New Roman"/>
          <w:sz w:val="24"/>
          <w:szCs w:val="24"/>
          <w:u w:val="single"/>
        </w:rPr>
        <w:t xml:space="preserve">         </w:t>
      </w:r>
      <w:r>
        <w:rPr>
          <w:rFonts w:hint="eastAsia" w:ascii="Calibri" w:hAnsi="Calibri" w:eastAsia="宋体" w:cs="Times New Roman"/>
          <w:sz w:val="24"/>
          <w:szCs w:val="24"/>
        </w:rPr>
        <w:t>）响应文件和</w:t>
      </w:r>
      <w:r>
        <w:rPr>
          <w:rFonts w:ascii="Calibri" w:hAnsi="Calibri" w:eastAsia="宋体" w:cs="Times New Roman"/>
          <w:sz w:val="24"/>
          <w:szCs w:val="24"/>
        </w:rPr>
        <w:t>处理有关事宜，其法律后果由我方承担。</w:t>
      </w:r>
    </w:p>
    <w:p w14:paraId="6F7BC8E0">
      <w:pPr>
        <w:spacing w:line="360" w:lineRule="auto"/>
        <w:ind w:firstLine="420"/>
        <w:jc w:val="left"/>
        <w:rPr>
          <w:rFonts w:ascii="Calibri" w:hAnsi="Calibri" w:eastAsia="宋体" w:cs="Times New Roman"/>
          <w:sz w:val="24"/>
          <w:szCs w:val="24"/>
        </w:rPr>
      </w:pPr>
      <w:r>
        <w:rPr>
          <w:rFonts w:hint="eastAsia" w:ascii="Calibri" w:hAnsi="Calibri" w:eastAsia="宋体" w:cs="Times New Roman"/>
          <w:sz w:val="24"/>
          <w:szCs w:val="24"/>
        </w:rPr>
        <w:t>委托</w:t>
      </w:r>
      <w:r>
        <w:rPr>
          <w:rFonts w:ascii="Calibri" w:hAnsi="Calibri" w:eastAsia="宋体" w:cs="Times New Roman"/>
          <w:sz w:val="24"/>
          <w:szCs w:val="24"/>
        </w:rPr>
        <w:t>期限：自本</w:t>
      </w:r>
      <w:r>
        <w:rPr>
          <w:rFonts w:hint="eastAsia" w:ascii="Calibri" w:hAnsi="Calibri" w:eastAsia="宋体" w:cs="Times New Roman"/>
          <w:sz w:val="24"/>
          <w:szCs w:val="24"/>
        </w:rPr>
        <w:t>授权</w:t>
      </w:r>
      <w:r>
        <w:rPr>
          <w:rFonts w:ascii="Calibri" w:hAnsi="Calibri" w:eastAsia="宋体" w:cs="Times New Roman"/>
          <w:sz w:val="24"/>
          <w:szCs w:val="24"/>
        </w:rPr>
        <w:t>委托书签署之日起至</w:t>
      </w:r>
      <w:r>
        <w:rPr>
          <w:rFonts w:hint="eastAsia" w:ascii="Calibri" w:hAnsi="Calibri" w:eastAsia="宋体" w:cs="Times New Roman"/>
          <w:sz w:val="24"/>
          <w:szCs w:val="24"/>
        </w:rPr>
        <w:t>响应</w:t>
      </w:r>
      <w:r>
        <w:rPr>
          <w:rFonts w:ascii="Calibri" w:hAnsi="Calibri" w:eastAsia="宋体" w:cs="Times New Roman"/>
          <w:sz w:val="24"/>
          <w:szCs w:val="24"/>
        </w:rPr>
        <w:t>有效期</w:t>
      </w:r>
      <w:r>
        <w:rPr>
          <w:rFonts w:hint="eastAsia" w:ascii="Calibri" w:hAnsi="Calibri" w:eastAsia="宋体" w:cs="Times New Roman"/>
          <w:sz w:val="24"/>
          <w:szCs w:val="24"/>
        </w:rPr>
        <w:t>届满</w:t>
      </w:r>
      <w:r>
        <w:rPr>
          <w:rFonts w:ascii="Calibri" w:hAnsi="Calibri" w:eastAsia="宋体" w:cs="Times New Roman"/>
          <w:sz w:val="24"/>
          <w:szCs w:val="24"/>
        </w:rPr>
        <w:t>之日止。</w:t>
      </w:r>
    </w:p>
    <w:p w14:paraId="75B9550F">
      <w:pPr>
        <w:spacing w:line="360" w:lineRule="auto"/>
        <w:ind w:firstLine="420"/>
        <w:jc w:val="left"/>
        <w:rPr>
          <w:rFonts w:ascii="Calibri" w:hAnsi="Calibri" w:eastAsia="宋体" w:cs="Times New Roman"/>
          <w:sz w:val="24"/>
          <w:szCs w:val="24"/>
        </w:rPr>
      </w:pPr>
      <w:r>
        <w:rPr>
          <w:rFonts w:hint="eastAsia" w:ascii="Calibri" w:hAnsi="Calibri" w:eastAsia="宋体" w:cs="Times New Roman"/>
          <w:sz w:val="24"/>
          <w:szCs w:val="24"/>
        </w:rPr>
        <w:t>代理人</w:t>
      </w:r>
      <w:r>
        <w:rPr>
          <w:rFonts w:ascii="Calibri" w:hAnsi="Calibri" w:eastAsia="宋体" w:cs="Times New Roman"/>
          <w:sz w:val="24"/>
          <w:szCs w:val="24"/>
        </w:rPr>
        <w:t>无转委托权。</w:t>
      </w:r>
      <w:r>
        <w:rPr>
          <w:rFonts w:ascii="Calibri" w:hAnsi="Calibri" w:eastAsia="宋体" w:cs="Times New Roman"/>
          <w:sz w:val="24"/>
          <w:szCs w:val="24"/>
        </w:rPr>
        <w:br w:type="textWrapping"/>
      </w:r>
    </w:p>
    <w:p w14:paraId="61653FF9">
      <w:pPr>
        <w:spacing w:line="360" w:lineRule="auto"/>
        <w:rPr>
          <w:rFonts w:ascii="Calibri" w:hAnsi="Calibri" w:eastAsia="宋体" w:cs="Times New Roman"/>
          <w:sz w:val="24"/>
          <w:szCs w:val="24"/>
        </w:rPr>
      </w:pPr>
      <w:r>
        <w:rPr>
          <w:rFonts w:hint="eastAsia" w:ascii="Calibri" w:hAnsi="Calibri" w:eastAsia="宋体" w:cs="Times New Roman"/>
          <w:sz w:val="24"/>
          <w:szCs w:val="24"/>
        </w:rPr>
        <w:t>供应商</w:t>
      </w:r>
      <w:r>
        <w:rPr>
          <w:rFonts w:ascii="Calibri" w:hAnsi="Calibri" w:eastAsia="宋体" w:cs="Times New Roman"/>
          <w:sz w:val="24"/>
          <w:szCs w:val="24"/>
        </w:rPr>
        <w:t>名称（加盖公章）：</w:t>
      </w:r>
      <w:r>
        <w:rPr>
          <w:rFonts w:hint="eastAsia" w:ascii="Calibri" w:hAnsi="Calibri" w:eastAsia="宋体" w:cs="Times New Roman"/>
          <w:sz w:val="24"/>
          <w:szCs w:val="24"/>
          <w:u w:val="single"/>
        </w:rPr>
        <w:t xml:space="preserve">             </w:t>
      </w:r>
    </w:p>
    <w:p w14:paraId="636615AA">
      <w:pPr>
        <w:spacing w:line="360" w:lineRule="auto"/>
        <w:rPr>
          <w:rFonts w:ascii="Calibri" w:hAnsi="Calibri" w:eastAsia="宋体" w:cs="Times New Roman"/>
          <w:sz w:val="24"/>
          <w:szCs w:val="24"/>
        </w:rPr>
      </w:pPr>
      <w:r>
        <w:rPr>
          <w:rFonts w:ascii="Calibri" w:hAnsi="Calibri" w:eastAsia="宋体" w:cs="Times New Roman"/>
          <w:sz w:val="24"/>
          <w:szCs w:val="24"/>
        </w:rPr>
        <w:t>法定代表人（单位负责人）（签字</w:t>
      </w:r>
      <w:r>
        <w:rPr>
          <w:rFonts w:hint="eastAsia" w:ascii="Calibri" w:hAnsi="Calibri" w:eastAsia="宋体" w:cs="Times New Roman"/>
          <w:sz w:val="24"/>
          <w:szCs w:val="24"/>
        </w:rPr>
        <w:t>、签章</w:t>
      </w:r>
      <w:r>
        <w:rPr>
          <w:rFonts w:ascii="Calibri" w:hAnsi="Calibri" w:eastAsia="宋体" w:cs="Times New Roman"/>
          <w:sz w:val="24"/>
          <w:szCs w:val="24"/>
        </w:rPr>
        <w:t>或</w:t>
      </w:r>
      <w:r>
        <w:rPr>
          <w:rFonts w:hint="eastAsia" w:ascii="Calibri" w:hAnsi="Calibri" w:eastAsia="宋体" w:cs="Times New Roman"/>
          <w:sz w:val="24"/>
          <w:szCs w:val="24"/>
        </w:rPr>
        <w:t>印鉴）</w:t>
      </w:r>
      <w:r>
        <w:rPr>
          <w:rFonts w:ascii="Calibri" w:hAnsi="Calibri" w:eastAsia="宋体" w:cs="Times New Roman"/>
          <w:sz w:val="24"/>
          <w:szCs w:val="24"/>
        </w:rPr>
        <w:t>：</w:t>
      </w:r>
      <w:r>
        <w:rPr>
          <w:rFonts w:hint="eastAsia" w:ascii="Calibri" w:hAnsi="Calibri" w:eastAsia="宋体" w:cs="Times New Roman"/>
          <w:sz w:val="24"/>
          <w:szCs w:val="24"/>
          <w:u w:val="single"/>
        </w:rPr>
        <w:t xml:space="preserve">             </w:t>
      </w:r>
    </w:p>
    <w:p w14:paraId="6DDF5B34">
      <w:pPr>
        <w:spacing w:line="360" w:lineRule="auto"/>
        <w:rPr>
          <w:rFonts w:ascii="Calibri" w:hAnsi="Calibri" w:eastAsia="宋体" w:cs="Times New Roman"/>
          <w:sz w:val="24"/>
          <w:szCs w:val="24"/>
        </w:rPr>
      </w:pPr>
      <w:r>
        <w:rPr>
          <w:rFonts w:hint="eastAsia" w:ascii="Calibri" w:hAnsi="Calibri" w:eastAsia="宋体" w:cs="Times New Roman"/>
          <w:sz w:val="24"/>
          <w:szCs w:val="24"/>
        </w:rPr>
        <w:t>委托代理</w:t>
      </w:r>
      <w:r>
        <w:rPr>
          <w:rFonts w:ascii="Calibri" w:hAnsi="Calibri" w:eastAsia="宋体" w:cs="Times New Roman"/>
          <w:sz w:val="24"/>
          <w:szCs w:val="24"/>
        </w:rPr>
        <w:t>人（签字</w:t>
      </w:r>
      <w:r>
        <w:rPr>
          <w:rFonts w:hint="eastAsia" w:ascii="Calibri" w:hAnsi="Calibri" w:eastAsia="宋体" w:cs="Times New Roman"/>
          <w:sz w:val="24"/>
          <w:szCs w:val="24"/>
        </w:rPr>
        <w:t>/签章</w:t>
      </w:r>
      <w:r>
        <w:rPr>
          <w:rFonts w:ascii="Calibri" w:hAnsi="Calibri" w:eastAsia="宋体" w:cs="Times New Roman"/>
          <w:sz w:val="24"/>
          <w:szCs w:val="24"/>
        </w:rPr>
        <w:t>）：</w:t>
      </w:r>
      <w:r>
        <w:rPr>
          <w:rFonts w:hint="eastAsia" w:ascii="Calibri" w:hAnsi="Calibri" w:eastAsia="宋体" w:cs="Times New Roman"/>
          <w:sz w:val="24"/>
          <w:szCs w:val="24"/>
          <w:u w:val="single"/>
        </w:rPr>
        <w:t xml:space="preserve">             </w:t>
      </w:r>
    </w:p>
    <w:p w14:paraId="31B94067">
      <w:pPr>
        <w:spacing w:line="360" w:lineRule="auto"/>
        <w:rPr>
          <w:rFonts w:ascii="Calibri" w:hAnsi="Calibri" w:eastAsia="宋体" w:cs="Times New Roman"/>
          <w:sz w:val="24"/>
          <w:szCs w:val="24"/>
        </w:rPr>
      </w:pPr>
      <w:r>
        <w:rPr>
          <w:rFonts w:hint="eastAsia" w:ascii="Calibri" w:hAnsi="Calibri" w:eastAsia="宋体" w:cs="Times New Roman"/>
          <w:sz w:val="24"/>
          <w:szCs w:val="24"/>
        </w:rPr>
        <w:t>日期：    年     月     日</w:t>
      </w:r>
    </w:p>
    <w:p w14:paraId="1327CA0A">
      <w:pPr>
        <w:tabs>
          <w:tab w:val="left" w:pos="5580"/>
        </w:tabs>
        <w:spacing w:line="360" w:lineRule="auto"/>
        <w:ind w:firstLine="480"/>
        <w:rPr>
          <w:rFonts w:ascii="宋体" w:hAnsi="宋体" w:eastAsia="宋体" w:cs="Times New Roman"/>
          <w:color w:val="000000"/>
          <w:sz w:val="24"/>
          <w:szCs w:val="20"/>
        </w:rPr>
      </w:pPr>
    </w:p>
    <w:p w14:paraId="2FAB8A01">
      <w:pPr>
        <w:tabs>
          <w:tab w:val="left" w:pos="5580"/>
        </w:tabs>
        <w:spacing w:line="360" w:lineRule="auto"/>
        <w:jc w:val="left"/>
        <w:rPr>
          <w:rFonts w:ascii="宋体" w:hAnsi="宋体" w:eastAsia="宋体" w:cs="Times New Roman"/>
          <w:color w:val="000000"/>
          <w:sz w:val="24"/>
          <w:szCs w:val="20"/>
        </w:rPr>
      </w:pPr>
      <w:r>
        <w:rPr>
          <w:rFonts w:ascii="宋体" w:hAnsi="宋体" w:eastAsia="宋体" w:cs="Times New Roman"/>
          <w:color w:val="000000"/>
          <w:sz w:val="24"/>
          <w:szCs w:val="20"/>
        </w:rPr>
        <w:t>法定代表人（单位负责人）有效期内的身份证</w:t>
      </w:r>
      <w:r>
        <w:rPr>
          <w:rFonts w:ascii="宋体" w:hAnsi="宋体" w:eastAsia="宋体" w:cs="Times New Roman"/>
          <w:b/>
          <w:color w:val="000000"/>
          <w:sz w:val="24"/>
          <w:szCs w:val="20"/>
        </w:rPr>
        <w:t>正反面</w:t>
      </w:r>
      <w:r>
        <w:rPr>
          <w:rFonts w:ascii="宋体" w:hAnsi="宋体" w:eastAsia="宋体" w:cs="Times New Roman"/>
          <w:color w:val="000000"/>
          <w:sz w:val="24"/>
          <w:szCs w:val="20"/>
        </w:rPr>
        <w:t>：</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081D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E516638">
            <w:pPr>
              <w:tabs>
                <w:tab w:val="left" w:pos="5580"/>
              </w:tabs>
              <w:spacing w:line="360" w:lineRule="auto"/>
              <w:jc w:val="left"/>
              <w:rPr>
                <w:rFonts w:ascii="宋体" w:hAnsi="宋体" w:eastAsia="宋体" w:cs="Times New Roman"/>
                <w:color w:val="000000"/>
                <w:sz w:val="24"/>
                <w:szCs w:val="20"/>
              </w:rPr>
            </w:pPr>
          </w:p>
          <w:p w14:paraId="3BFA7070">
            <w:pPr>
              <w:tabs>
                <w:tab w:val="left" w:pos="5580"/>
              </w:tabs>
              <w:spacing w:line="360" w:lineRule="auto"/>
              <w:jc w:val="left"/>
              <w:rPr>
                <w:rFonts w:ascii="宋体" w:hAnsi="宋体" w:eastAsia="宋体" w:cs="Times New Roman"/>
                <w:color w:val="000000"/>
                <w:sz w:val="24"/>
                <w:szCs w:val="20"/>
              </w:rPr>
            </w:pPr>
          </w:p>
          <w:p w14:paraId="3608CB3D">
            <w:pPr>
              <w:tabs>
                <w:tab w:val="left" w:pos="5580"/>
              </w:tabs>
              <w:spacing w:line="360" w:lineRule="auto"/>
              <w:jc w:val="left"/>
              <w:rPr>
                <w:rFonts w:ascii="宋体" w:hAnsi="宋体" w:eastAsia="宋体" w:cs="Times New Roman"/>
                <w:color w:val="000000"/>
                <w:sz w:val="24"/>
                <w:szCs w:val="20"/>
              </w:rPr>
            </w:pPr>
          </w:p>
        </w:tc>
        <w:tc>
          <w:tcPr>
            <w:tcW w:w="4536" w:type="dxa"/>
          </w:tcPr>
          <w:p w14:paraId="6497B6DC">
            <w:pPr>
              <w:tabs>
                <w:tab w:val="left" w:pos="5580"/>
              </w:tabs>
              <w:spacing w:line="360" w:lineRule="auto"/>
              <w:jc w:val="left"/>
              <w:rPr>
                <w:rFonts w:ascii="宋体" w:hAnsi="宋体" w:eastAsia="宋体" w:cs="Times New Roman"/>
                <w:color w:val="000000"/>
                <w:sz w:val="24"/>
                <w:szCs w:val="20"/>
              </w:rPr>
            </w:pPr>
          </w:p>
          <w:p w14:paraId="0FF867C5">
            <w:pPr>
              <w:tabs>
                <w:tab w:val="left" w:pos="5580"/>
              </w:tabs>
              <w:spacing w:line="360" w:lineRule="auto"/>
              <w:jc w:val="left"/>
              <w:rPr>
                <w:rFonts w:ascii="宋体" w:hAnsi="宋体" w:eastAsia="宋体" w:cs="Times New Roman"/>
                <w:color w:val="000000"/>
                <w:sz w:val="24"/>
                <w:szCs w:val="20"/>
              </w:rPr>
            </w:pPr>
          </w:p>
          <w:p w14:paraId="5F74FBB6">
            <w:pPr>
              <w:tabs>
                <w:tab w:val="left" w:pos="5580"/>
              </w:tabs>
              <w:spacing w:line="360" w:lineRule="auto"/>
              <w:jc w:val="left"/>
              <w:rPr>
                <w:rFonts w:ascii="宋体" w:hAnsi="宋体" w:eastAsia="宋体" w:cs="Times New Roman"/>
                <w:color w:val="000000"/>
                <w:sz w:val="24"/>
                <w:szCs w:val="20"/>
              </w:rPr>
            </w:pPr>
          </w:p>
        </w:tc>
      </w:tr>
    </w:tbl>
    <w:p w14:paraId="0B99C974">
      <w:pPr>
        <w:tabs>
          <w:tab w:val="left" w:pos="5580"/>
        </w:tabs>
        <w:spacing w:line="360" w:lineRule="auto"/>
        <w:jc w:val="left"/>
        <w:rPr>
          <w:rFonts w:ascii="宋体" w:hAnsi="宋体" w:eastAsia="宋体" w:cs="Times New Roman"/>
          <w:color w:val="000000"/>
          <w:sz w:val="24"/>
          <w:szCs w:val="20"/>
        </w:rPr>
      </w:pPr>
      <w:r>
        <w:rPr>
          <w:rFonts w:hint="eastAsia" w:ascii="宋体" w:hAnsi="宋体" w:eastAsia="宋体" w:cs="Times New Roman"/>
          <w:color w:val="000000"/>
          <w:sz w:val="24"/>
          <w:szCs w:val="20"/>
        </w:rPr>
        <w:t>委托代理人</w:t>
      </w:r>
      <w:r>
        <w:rPr>
          <w:rFonts w:ascii="宋体" w:hAnsi="宋体" w:eastAsia="宋体" w:cs="Times New Roman"/>
          <w:color w:val="000000"/>
          <w:sz w:val="24"/>
          <w:szCs w:val="20"/>
        </w:rPr>
        <w:t>有效期内的身份证</w:t>
      </w:r>
      <w:r>
        <w:rPr>
          <w:rFonts w:ascii="宋体" w:hAnsi="宋体" w:eastAsia="宋体" w:cs="Times New Roman"/>
          <w:b/>
          <w:color w:val="000000"/>
          <w:sz w:val="24"/>
          <w:szCs w:val="20"/>
        </w:rPr>
        <w:t>正反面</w:t>
      </w:r>
      <w:r>
        <w:rPr>
          <w:rFonts w:ascii="宋体" w:hAnsi="宋体" w:eastAsia="宋体" w:cs="Times New Roman"/>
          <w:color w:val="000000"/>
          <w:sz w:val="24"/>
          <w:szCs w:val="20"/>
        </w:rPr>
        <w:t>：</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1F80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4825C95C">
            <w:pPr>
              <w:tabs>
                <w:tab w:val="left" w:pos="5580"/>
              </w:tabs>
              <w:spacing w:line="360" w:lineRule="auto"/>
              <w:jc w:val="left"/>
              <w:rPr>
                <w:rFonts w:ascii="宋体" w:hAnsi="宋体" w:eastAsia="宋体" w:cs="Times New Roman"/>
                <w:color w:val="000000"/>
                <w:sz w:val="24"/>
                <w:szCs w:val="20"/>
              </w:rPr>
            </w:pPr>
          </w:p>
          <w:p w14:paraId="34A0F4FC">
            <w:pPr>
              <w:tabs>
                <w:tab w:val="left" w:pos="5580"/>
              </w:tabs>
              <w:spacing w:line="360" w:lineRule="auto"/>
              <w:jc w:val="left"/>
              <w:rPr>
                <w:rFonts w:ascii="宋体" w:hAnsi="宋体" w:eastAsia="宋体" w:cs="Times New Roman"/>
                <w:color w:val="000000"/>
                <w:sz w:val="24"/>
                <w:szCs w:val="20"/>
              </w:rPr>
            </w:pPr>
          </w:p>
          <w:p w14:paraId="383632CB">
            <w:pPr>
              <w:tabs>
                <w:tab w:val="left" w:pos="5580"/>
              </w:tabs>
              <w:spacing w:line="360" w:lineRule="auto"/>
              <w:jc w:val="left"/>
              <w:rPr>
                <w:rFonts w:ascii="宋体" w:hAnsi="宋体" w:eastAsia="宋体" w:cs="Times New Roman"/>
                <w:color w:val="000000"/>
                <w:sz w:val="24"/>
                <w:szCs w:val="20"/>
              </w:rPr>
            </w:pPr>
          </w:p>
        </w:tc>
        <w:tc>
          <w:tcPr>
            <w:tcW w:w="4536" w:type="dxa"/>
          </w:tcPr>
          <w:p w14:paraId="5B3A8C34">
            <w:pPr>
              <w:tabs>
                <w:tab w:val="left" w:pos="5580"/>
              </w:tabs>
              <w:spacing w:line="360" w:lineRule="auto"/>
              <w:jc w:val="left"/>
              <w:rPr>
                <w:rFonts w:ascii="宋体" w:hAnsi="宋体" w:eastAsia="宋体" w:cs="Times New Roman"/>
                <w:color w:val="000000"/>
                <w:sz w:val="24"/>
                <w:szCs w:val="20"/>
              </w:rPr>
            </w:pPr>
          </w:p>
          <w:p w14:paraId="244A9CF6">
            <w:pPr>
              <w:tabs>
                <w:tab w:val="left" w:pos="5580"/>
              </w:tabs>
              <w:spacing w:line="360" w:lineRule="auto"/>
              <w:jc w:val="left"/>
              <w:rPr>
                <w:rFonts w:ascii="宋体" w:hAnsi="宋体" w:eastAsia="宋体" w:cs="Times New Roman"/>
                <w:color w:val="000000"/>
                <w:sz w:val="24"/>
                <w:szCs w:val="20"/>
              </w:rPr>
            </w:pPr>
          </w:p>
          <w:p w14:paraId="3395018A">
            <w:pPr>
              <w:tabs>
                <w:tab w:val="left" w:pos="5580"/>
              </w:tabs>
              <w:spacing w:line="360" w:lineRule="auto"/>
              <w:jc w:val="left"/>
              <w:rPr>
                <w:rFonts w:ascii="宋体" w:hAnsi="宋体" w:eastAsia="宋体" w:cs="Times New Roman"/>
                <w:color w:val="000000"/>
                <w:sz w:val="24"/>
                <w:szCs w:val="20"/>
              </w:rPr>
            </w:pPr>
          </w:p>
        </w:tc>
      </w:tr>
    </w:tbl>
    <w:p w14:paraId="1EA415A3">
      <w:pPr>
        <w:tabs>
          <w:tab w:val="left" w:pos="5580"/>
        </w:tabs>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填报说明</w:t>
      </w:r>
      <w:r>
        <w:rPr>
          <w:rFonts w:ascii="Calibri" w:hAnsi="Calibri" w:eastAsia="宋体" w:cs="Times New Roman"/>
          <w:sz w:val="24"/>
          <w:szCs w:val="24"/>
        </w:rPr>
        <w:t>：</w:t>
      </w:r>
    </w:p>
    <w:p w14:paraId="5A7C0874">
      <w:pPr>
        <w:tabs>
          <w:tab w:val="left" w:pos="5580"/>
        </w:tabs>
        <w:spacing w:line="360" w:lineRule="auto"/>
        <w:ind w:firstLine="480"/>
        <w:jc w:val="left"/>
        <w:rPr>
          <w:rFonts w:ascii="Calibri" w:hAnsi="Calibri" w:eastAsia="宋体" w:cs="Times New Roman"/>
          <w:sz w:val="24"/>
          <w:szCs w:val="24"/>
        </w:rPr>
      </w:pPr>
      <w:r>
        <w:rPr>
          <w:rFonts w:ascii="Calibri" w:hAnsi="Calibri" w:eastAsia="宋体" w:cs="Times New Roman"/>
          <w:sz w:val="24"/>
          <w:szCs w:val="24"/>
        </w:rPr>
        <w:t>1、若供应商为事业单位或其他组织或分支机构（仅当</w:t>
      </w:r>
      <w:r>
        <w:rPr>
          <w:rFonts w:hint="eastAsia" w:ascii="Calibri" w:hAnsi="Calibri" w:eastAsia="宋体" w:cs="Times New Roman"/>
          <w:sz w:val="24"/>
          <w:szCs w:val="24"/>
        </w:rPr>
        <w:t>磋商文件</w:t>
      </w:r>
      <w:r>
        <w:rPr>
          <w:rFonts w:ascii="Calibri" w:hAnsi="Calibri" w:eastAsia="宋体" w:cs="Times New Roman"/>
          <w:sz w:val="24"/>
          <w:szCs w:val="24"/>
        </w:rPr>
        <w:t>注明允许分支机构参与</w:t>
      </w:r>
      <w:r>
        <w:rPr>
          <w:rFonts w:hint="eastAsia" w:ascii="Calibri" w:hAnsi="Calibri" w:eastAsia="宋体" w:cs="Times New Roman"/>
          <w:sz w:val="24"/>
          <w:szCs w:val="24"/>
        </w:rPr>
        <w:t>磋商</w:t>
      </w:r>
      <w:r>
        <w:rPr>
          <w:rFonts w:ascii="Calibri" w:hAnsi="Calibri" w:eastAsia="宋体" w:cs="Times New Roman"/>
          <w:sz w:val="24"/>
          <w:szCs w:val="24"/>
        </w:rPr>
        <w:t>的），则法定代表人（单位负责人）</w:t>
      </w:r>
      <w:r>
        <w:rPr>
          <w:rFonts w:hint="eastAsia" w:ascii="Calibri" w:hAnsi="Calibri" w:eastAsia="宋体" w:cs="Times New Roman"/>
          <w:sz w:val="24"/>
          <w:szCs w:val="24"/>
        </w:rPr>
        <w:t>处</w:t>
      </w:r>
      <w:r>
        <w:rPr>
          <w:rFonts w:ascii="Calibri" w:hAnsi="Calibri" w:eastAsia="宋体" w:cs="Times New Roman"/>
          <w:sz w:val="24"/>
          <w:szCs w:val="24"/>
        </w:rPr>
        <w:t>的签署人可为单位负责人</w:t>
      </w:r>
      <w:r>
        <w:rPr>
          <w:rFonts w:hint="eastAsia" w:ascii="Calibri" w:hAnsi="Calibri" w:eastAsia="宋体" w:cs="Times New Roman"/>
          <w:sz w:val="24"/>
          <w:szCs w:val="24"/>
        </w:rPr>
        <w:t>。</w:t>
      </w:r>
    </w:p>
    <w:p w14:paraId="4A52138F">
      <w:pPr>
        <w:tabs>
          <w:tab w:val="left" w:pos="5580"/>
        </w:tabs>
        <w:spacing w:line="360" w:lineRule="auto"/>
        <w:ind w:firstLine="480"/>
        <w:jc w:val="left"/>
        <w:rPr>
          <w:rFonts w:ascii="Calibri" w:hAnsi="Calibri" w:eastAsia="宋体" w:cs="Times New Roman"/>
          <w:sz w:val="24"/>
          <w:szCs w:val="24"/>
        </w:rPr>
      </w:pPr>
      <w:r>
        <w:rPr>
          <w:rFonts w:hint="eastAsia" w:ascii="Calibri" w:hAnsi="Calibri" w:eastAsia="宋体" w:cs="Times New Roman"/>
          <w:sz w:val="24"/>
          <w:szCs w:val="24"/>
        </w:rPr>
        <w:t>2、</w:t>
      </w:r>
      <w:r>
        <w:rPr>
          <w:rFonts w:ascii="Calibri" w:hAnsi="Calibri" w:eastAsia="宋体" w:cs="Times New Roman"/>
          <w:sz w:val="24"/>
          <w:szCs w:val="24"/>
        </w:rPr>
        <w:t>若</w:t>
      </w:r>
      <w:r>
        <w:rPr>
          <w:rFonts w:hint="eastAsia" w:ascii="Calibri" w:hAnsi="Calibri" w:eastAsia="宋体" w:cs="Times New Roman"/>
          <w:sz w:val="24"/>
          <w:szCs w:val="24"/>
        </w:rPr>
        <w:t>响应文件</w:t>
      </w:r>
      <w:r>
        <w:rPr>
          <w:rFonts w:ascii="Calibri" w:hAnsi="Calibri" w:eastAsia="宋体" w:cs="Times New Roman"/>
          <w:sz w:val="24"/>
          <w:szCs w:val="24"/>
        </w:rPr>
        <w:t>中全部签字之处均为法定代表人（单位负责人）本人签署，则可不提供本《</w:t>
      </w:r>
      <w:r>
        <w:rPr>
          <w:rFonts w:hint="eastAsia" w:ascii="Calibri" w:hAnsi="Calibri" w:eastAsia="宋体" w:cs="Times New Roman"/>
          <w:sz w:val="24"/>
          <w:szCs w:val="24"/>
        </w:rPr>
        <w:t>授权委托书</w:t>
      </w:r>
      <w:r>
        <w:rPr>
          <w:rFonts w:ascii="Calibri" w:hAnsi="Calibri" w:eastAsia="宋体" w:cs="Times New Roman"/>
          <w:sz w:val="24"/>
          <w:szCs w:val="24"/>
        </w:rPr>
        <w:t>》，但须提供</w:t>
      </w:r>
      <w:r>
        <w:rPr>
          <w:rFonts w:hint="eastAsia" w:ascii="Calibri" w:hAnsi="Calibri" w:eastAsia="宋体" w:cs="Times New Roman"/>
          <w:sz w:val="24"/>
          <w:szCs w:val="24"/>
        </w:rPr>
        <w:t>《</w:t>
      </w:r>
      <w:r>
        <w:rPr>
          <w:rFonts w:ascii="Calibri" w:hAnsi="Calibri" w:eastAsia="宋体" w:cs="Times New Roman"/>
          <w:sz w:val="24"/>
          <w:szCs w:val="24"/>
        </w:rPr>
        <w:t>法定代表人（单位负责人）身份证</w:t>
      </w:r>
      <w:r>
        <w:rPr>
          <w:rFonts w:hint="eastAsia" w:ascii="Calibri" w:hAnsi="Calibri" w:eastAsia="宋体" w:cs="Times New Roman"/>
          <w:sz w:val="24"/>
          <w:szCs w:val="24"/>
        </w:rPr>
        <w:t>明》</w:t>
      </w:r>
      <w:r>
        <w:rPr>
          <w:rFonts w:ascii="Calibri" w:hAnsi="Calibri" w:eastAsia="宋体" w:cs="Times New Roman"/>
          <w:sz w:val="24"/>
          <w:szCs w:val="24"/>
        </w:rPr>
        <w:t>。</w:t>
      </w:r>
    </w:p>
    <w:p w14:paraId="71A77DEB">
      <w:pPr>
        <w:tabs>
          <w:tab w:val="left" w:pos="5580"/>
        </w:tabs>
        <w:spacing w:line="360" w:lineRule="auto"/>
        <w:ind w:firstLine="480"/>
        <w:jc w:val="left"/>
        <w:rPr>
          <w:rFonts w:ascii="Calibri" w:hAnsi="Calibri" w:eastAsia="宋体" w:cs="Times New Roman"/>
          <w:sz w:val="24"/>
          <w:szCs w:val="24"/>
        </w:rPr>
      </w:pPr>
      <w:r>
        <w:rPr>
          <w:rFonts w:ascii="Calibri" w:hAnsi="Calibri" w:eastAsia="宋体" w:cs="Times New Roman"/>
          <w:sz w:val="24"/>
          <w:szCs w:val="24"/>
        </w:rPr>
        <w:t>3、</w:t>
      </w:r>
      <w:r>
        <w:rPr>
          <w:rFonts w:hint="eastAsia" w:ascii="Calibri" w:hAnsi="Calibri" w:eastAsia="宋体" w:cs="Times New Roman"/>
          <w:sz w:val="24"/>
          <w:szCs w:val="24"/>
        </w:rPr>
        <w:t>供应商为自然人的情形，可不提供本</w:t>
      </w:r>
      <w:r>
        <w:rPr>
          <w:rFonts w:ascii="Calibri" w:hAnsi="Calibri" w:eastAsia="宋体" w:cs="Times New Roman"/>
          <w:sz w:val="24"/>
          <w:szCs w:val="24"/>
        </w:rPr>
        <w:t>《</w:t>
      </w:r>
      <w:r>
        <w:rPr>
          <w:rFonts w:hint="eastAsia" w:ascii="Calibri" w:hAnsi="Calibri" w:eastAsia="宋体" w:cs="Times New Roman"/>
          <w:sz w:val="24"/>
          <w:szCs w:val="24"/>
        </w:rPr>
        <w:t>授权委托书</w:t>
      </w:r>
      <w:r>
        <w:rPr>
          <w:rFonts w:ascii="Calibri" w:hAnsi="Calibri" w:eastAsia="宋体" w:cs="Times New Roman"/>
          <w:sz w:val="24"/>
          <w:szCs w:val="24"/>
        </w:rPr>
        <w:t>》</w:t>
      </w:r>
      <w:r>
        <w:rPr>
          <w:rFonts w:hint="eastAsia" w:ascii="Calibri" w:hAnsi="Calibri" w:eastAsia="宋体" w:cs="Times New Roman"/>
          <w:sz w:val="24"/>
          <w:szCs w:val="24"/>
        </w:rPr>
        <w:t>。</w:t>
      </w:r>
    </w:p>
    <w:p w14:paraId="7CF05B74"/>
    <w:p w14:paraId="4F343778"/>
    <w:p w14:paraId="7933614F">
      <w:pPr>
        <w:spacing w:line="360" w:lineRule="exact"/>
        <w:jc w:val="center"/>
        <w:rPr>
          <w:rFonts w:ascii="宋体" w:hAnsi="宋体" w:eastAsia="宋体" w:cs="Times New Roman"/>
          <w:b/>
          <w:color w:val="000000"/>
          <w:sz w:val="36"/>
          <w:szCs w:val="36"/>
        </w:rPr>
      </w:pPr>
      <w:r>
        <w:rPr>
          <w:rFonts w:ascii="宋体" w:hAnsi="宋体" w:eastAsia="宋体" w:cs="Times New Roman"/>
          <w:b/>
          <w:color w:val="000000"/>
          <w:sz w:val="36"/>
          <w:szCs w:val="36"/>
        </w:rPr>
        <w:t>法定代表人（单位负责人）身份证明</w:t>
      </w:r>
    </w:p>
    <w:p w14:paraId="4CA02C9B">
      <w:pPr>
        <w:spacing w:line="200" w:lineRule="exact"/>
        <w:rPr>
          <w:rFonts w:ascii="宋体" w:hAnsi="宋体" w:eastAsia="宋体" w:cs="Times New Roman"/>
          <w:sz w:val="20"/>
          <w:szCs w:val="20"/>
        </w:rPr>
      </w:pPr>
    </w:p>
    <w:p w14:paraId="0F9B4B7E">
      <w:pPr>
        <w:tabs>
          <w:tab w:val="left" w:pos="5580"/>
        </w:tabs>
        <w:spacing w:line="360" w:lineRule="auto"/>
        <w:rPr>
          <w:rFonts w:ascii="宋体" w:hAnsi="宋体" w:eastAsia="宋体" w:cs="Times New Roman"/>
          <w:color w:val="000000"/>
          <w:sz w:val="24"/>
          <w:szCs w:val="24"/>
        </w:rPr>
      </w:pPr>
      <w:r>
        <w:rPr>
          <w:rFonts w:ascii="宋体" w:hAnsi="宋体" w:eastAsia="宋体" w:cs="Times New Roman"/>
          <w:color w:val="000000"/>
          <w:sz w:val="24"/>
          <w:szCs w:val="24"/>
        </w:rPr>
        <w:t>致：</w:t>
      </w:r>
      <w:r>
        <w:rPr>
          <w:rFonts w:hint="eastAsia" w:ascii="Times New Roman" w:hAnsi="Times New Roman" w:eastAsia="宋体" w:cs="Times New Roman"/>
          <w:sz w:val="24"/>
          <w:szCs w:val="24"/>
          <w:u w:val="single"/>
        </w:rPr>
        <w:t xml:space="preserve"> 采购单位 </w:t>
      </w:r>
    </w:p>
    <w:p w14:paraId="44A597A5">
      <w:pPr>
        <w:tabs>
          <w:tab w:val="left" w:pos="567"/>
          <w:tab w:val="left" w:pos="2412"/>
          <w:tab w:val="left" w:pos="3883"/>
          <w:tab w:val="left" w:pos="5352"/>
          <w:tab w:val="left" w:pos="6821"/>
        </w:tabs>
        <w:spacing w:before="120" w:line="335" w:lineRule="exact"/>
        <w:ind w:firstLine="480"/>
        <w:rPr>
          <w:rFonts w:ascii="宋体" w:hAnsi="宋体" w:eastAsia="宋体" w:cs="Times New Roman"/>
          <w:sz w:val="24"/>
          <w:szCs w:val="24"/>
        </w:rPr>
      </w:pPr>
      <w:r>
        <w:rPr>
          <w:rFonts w:hint="eastAsia" w:ascii="宋体" w:hAnsi="宋体" w:eastAsia="宋体" w:cs="Times New Roman"/>
          <w:sz w:val="24"/>
          <w:szCs w:val="24"/>
        </w:rPr>
        <w:t>兹证明，</w:t>
      </w:r>
    </w:p>
    <w:p w14:paraId="2A7A967D">
      <w:pPr>
        <w:tabs>
          <w:tab w:val="left" w:pos="567"/>
          <w:tab w:val="left" w:pos="1690"/>
          <w:tab w:val="left" w:pos="3400"/>
          <w:tab w:val="left" w:pos="5110"/>
          <w:tab w:val="left" w:pos="6821"/>
        </w:tabs>
        <w:spacing w:before="120" w:line="335" w:lineRule="exact"/>
        <w:rPr>
          <w:rFonts w:ascii="宋体" w:hAnsi="宋体" w:eastAsia="宋体" w:cs="Times New Roman"/>
          <w:sz w:val="24"/>
          <w:szCs w:val="24"/>
        </w:rPr>
      </w:pPr>
      <w:r>
        <w:rPr>
          <w:rFonts w:ascii="宋体" w:hAnsi="宋体" w:eastAsia="宋体" w:cs="Times New Roman"/>
          <w:sz w:val="24"/>
          <w:szCs w:val="24"/>
        </w:rPr>
        <w:t>姓名</w:t>
      </w:r>
      <w:r>
        <w:rPr>
          <w:rFonts w:hint="eastAsia" w:ascii="宋体" w:hAnsi="宋体" w:eastAsia="宋体" w:cs="Times New Roman"/>
          <w:sz w:val="24"/>
          <w:szCs w:val="24"/>
        </w:rPr>
        <w:t>：</w:t>
      </w:r>
      <w:r>
        <w:rPr>
          <w:rFonts w:hint="eastAsia" w:ascii="宋体" w:hAnsi="宋体" w:eastAsia="宋体" w:cs="Times New Roman"/>
          <w:sz w:val="24"/>
          <w:szCs w:val="24"/>
          <w:u w:val="single"/>
        </w:rPr>
        <w:t xml:space="preserve">        </w:t>
      </w:r>
      <w:r>
        <w:rPr>
          <w:rFonts w:ascii="宋体" w:hAnsi="宋体" w:eastAsia="宋体" w:cs="Times New Roman"/>
          <w:sz w:val="24"/>
          <w:szCs w:val="24"/>
        </w:rPr>
        <w:t>性别：</w:t>
      </w:r>
      <w:r>
        <w:rPr>
          <w:rFonts w:hint="eastAsia" w:ascii="宋体" w:hAnsi="宋体" w:eastAsia="宋体" w:cs="Times New Roman"/>
          <w:sz w:val="24"/>
          <w:szCs w:val="24"/>
          <w:u w:val="single"/>
        </w:rPr>
        <w:t xml:space="preserve">        </w:t>
      </w:r>
      <w:r>
        <w:rPr>
          <w:rFonts w:ascii="宋体" w:hAnsi="宋体" w:eastAsia="宋体" w:cs="Times New Roman"/>
          <w:sz w:val="24"/>
          <w:szCs w:val="24"/>
        </w:rPr>
        <w:t>年龄：</w:t>
      </w:r>
      <w:r>
        <w:rPr>
          <w:rFonts w:hint="eastAsia" w:ascii="宋体" w:hAnsi="宋体" w:eastAsia="宋体" w:cs="Times New Roman"/>
          <w:sz w:val="24"/>
          <w:szCs w:val="24"/>
          <w:u w:val="single"/>
        </w:rPr>
        <w:t xml:space="preserve">        </w:t>
      </w:r>
      <w:r>
        <w:rPr>
          <w:rFonts w:ascii="宋体" w:hAnsi="宋体" w:eastAsia="宋体" w:cs="Times New Roman"/>
          <w:sz w:val="24"/>
          <w:szCs w:val="24"/>
        </w:rPr>
        <w:t>职务：</w:t>
      </w:r>
      <w:r>
        <w:rPr>
          <w:rFonts w:hint="eastAsia" w:ascii="宋体" w:hAnsi="宋体" w:eastAsia="宋体" w:cs="Times New Roman"/>
          <w:sz w:val="24"/>
          <w:szCs w:val="24"/>
          <w:u w:val="single"/>
        </w:rPr>
        <w:t xml:space="preserve">        </w:t>
      </w:r>
    </w:p>
    <w:p w14:paraId="76F09C67">
      <w:pPr>
        <w:tabs>
          <w:tab w:val="left" w:pos="567"/>
          <w:tab w:val="left" w:pos="2412"/>
          <w:tab w:val="left" w:pos="3883"/>
          <w:tab w:val="left" w:pos="5352"/>
          <w:tab w:val="left" w:pos="6821"/>
        </w:tabs>
        <w:spacing w:before="120" w:line="335" w:lineRule="exact"/>
        <w:rPr>
          <w:rFonts w:ascii="宋体" w:hAnsi="宋体" w:eastAsia="宋体" w:cs="Times New Roman"/>
          <w:sz w:val="24"/>
          <w:szCs w:val="24"/>
        </w:rPr>
      </w:pPr>
    </w:p>
    <w:p w14:paraId="45993DF8">
      <w:pPr>
        <w:tabs>
          <w:tab w:val="left" w:pos="2250"/>
          <w:tab w:val="left" w:pos="2412"/>
          <w:tab w:val="left" w:pos="3883"/>
          <w:tab w:val="left" w:pos="5352"/>
          <w:tab w:val="left" w:pos="6821"/>
        </w:tabs>
        <w:spacing w:before="120" w:line="335" w:lineRule="exact"/>
        <w:rPr>
          <w:rFonts w:ascii="宋体" w:hAnsi="宋体" w:eastAsia="宋体" w:cs="Times New Roman"/>
          <w:sz w:val="24"/>
          <w:szCs w:val="24"/>
        </w:rPr>
      </w:pPr>
      <w:r>
        <w:rPr>
          <w:rFonts w:ascii="宋体" w:hAnsi="宋体" w:eastAsia="宋体" w:cs="Times New Roman"/>
          <w:sz w:val="24"/>
          <w:szCs w:val="24"/>
        </w:rPr>
        <w:t>系</w:t>
      </w:r>
      <w:r>
        <w:rPr>
          <w:rFonts w:hint="eastAsia" w:ascii="宋体" w:hAnsi="宋体" w:eastAsia="宋体" w:cs="Times New Roman"/>
          <w:sz w:val="24"/>
          <w:szCs w:val="24"/>
          <w:u w:val="single"/>
        </w:rPr>
        <w:t xml:space="preserve"> </w:t>
      </w:r>
      <w:r>
        <w:rPr>
          <w:rFonts w:ascii="Calibri" w:hAnsi="Calibri" w:eastAsia="宋体" w:cs="Times New Roman"/>
          <w:sz w:val="24"/>
          <w:szCs w:val="24"/>
          <w:u w:val="single"/>
        </w:rPr>
        <w:t>（</w:t>
      </w:r>
      <w:r>
        <w:rPr>
          <w:rFonts w:hint="eastAsia" w:ascii="Calibri" w:hAnsi="Calibri" w:eastAsia="宋体" w:cs="Times New Roman"/>
          <w:sz w:val="24"/>
          <w:szCs w:val="24"/>
          <w:u w:val="single"/>
        </w:rPr>
        <w:t>供应商</w:t>
      </w:r>
      <w:r>
        <w:rPr>
          <w:rFonts w:ascii="Calibri" w:hAnsi="Calibri" w:eastAsia="宋体" w:cs="Times New Roman"/>
          <w:sz w:val="24"/>
          <w:szCs w:val="24"/>
          <w:u w:val="single"/>
        </w:rPr>
        <w:t>名称）</w:t>
      </w:r>
      <w:r>
        <w:rPr>
          <w:rFonts w:hint="eastAsia" w:ascii="Calibri" w:hAnsi="Calibri" w:eastAsia="宋体" w:cs="Times New Roman"/>
          <w:sz w:val="24"/>
          <w:szCs w:val="24"/>
          <w:u w:val="single"/>
        </w:rPr>
        <w:t xml:space="preserve"> </w:t>
      </w:r>
      <w:r>
        <w:rPr>
          <w:rFonts w:ascii="宋体" w:hAnsi="宋体" w:eastAsia="宋体" w:cs="Times New Roman"/>
          <w:sz w:val="24"/>
          <w:szCs w:val="24"/>
        </w:rPr>
        <w:t>的法定代表人（单位负责人）。</w:t>
      </w:r>
    </w:p>
    <w:p w14:paraId="721F8C1D">
      <w:pPr>
        <w:tabs>
          <w:tab w:val="left" w:pos="567"/>
          <w:tab w:val="left" w:pos="2412"/>
          <w:tab w:val="left" w:pos="3883"/>
          <w:tab w:val="left" w:pos="5352"/>
          <w:tab w:val="left" w:pos="6821"/>
        </w:tabs>
        <w:spacing w:before="120" w:line="335" w:lineRule="exact"/>
        <w:rPr>
          <w:rFonts w:ascii="宋体" w:hAnsi="宋体" w:eastAsia="宋体" w:cs="Times New Roman"/>
          <w:sz w:val="24"/>
          <w:szCs w:val="24"/>
        </w:rPr>
      </w:pPr>
    </w:p>
    <w:p w14:paraId="34E45DDE">
      <w:pPr>
        <w:tabs>
          <w:tab w:val="left" w:pos="567"/>
          <w:tab w:val="left" w:pos="2412"/>
          <w:tab w:val="left" w:pos="3883"/>
          <w:tab w:val="left" w:pos="5352"/>
          <w:tab w:val="left" w:pos="6821"/>
        </w:tabs>
        <w:spacing w:before="120" w:line="335" w:lineRule="exact"/>
        <w:rPr>
          <w:rFonts w:ascii="宋体" w:hAnsi="宋体" w:eastAsia="宋体" w:cs="Times New Roman"/>
          <w:sz w:val="24"/>
          <w:szCs w:val="24"/>
        </w:rPr>
      </w:pPr>
    </w:p>
    <w:p w14:paraId="577DFFCA">
      <w:pPr>
        <w:tabs>
          <w:tab w:val="left" w:pos="567"/>
        </w:tabs>
        <w:spacing w:before="120" w:line="583" w:lineRule="auto"/>
        <w:ind w:right="-46"/>
        <w:rPr>
          <w:rFonts w:ascii="宋体" w:hAnsi="宋体" w:eastAsia="宋体" w:cs="Times New Roman"/>
          <w:spacing w:val="-3"/>
          <w:sz w:val="24"/>
          <w:szCs w:val="24"/>
        </w:rPr>
      </w:pPr>
      <w:r>
        <w:rPr>
          <w:rFonts w:ascii="宋体" w:hAnsi="宋体" w:eastAsia="宋体" w:cs="Times New Roman"/>
          <w:spacing w:val="-3"/>
          <w:sz w:val="24"/>
          <w:szCs w:val="24"/>
        </w:rPr>
        <w:t>法</w:t>
      </w:r>
      <w:r>
        <w:rPr>
          <w:rFonts w:ascii="宋体" w:hAnsi="宋体" w:eastAsia="宋体" w:cs="Times New Roman"/>
          <w:sz w:val="24"/>
          <w:szCs w:val="24"/>
        </w:rPr>
        <w:t>定</w:t>
      </w:r>
      <w:r>
        <w:rPr>
          <w:rFonts w:ascii="宋体" w:hAnsi="宋体" w:eastAsia="宋体" w:cs="Times New Roman"/>
          <w:spacing w:val="-3"/>
          <w:sz w:val="24"/>
          <w:szCs w:val="24"/>
        </w:rPr>
        <w:t>代</w:t>
      </w:r>
      <w:r>
        <w:rPr>
          <w:rFonts w:ascii="宋体" w:hAnsi="宋体" w:eastAsia="宋体" w:cs="Times New Roman"/>
          <w:sz w:val="24"/>
          <w:szCs w:val="24"/>
        </w:rPr>
        <w:t>表</w:t>
      </w:r>
      <w:r>
        <w:rPr>
          <w:rFonts w:ascii="宋体" w:hAnsi="宋体" w:eastAsia="宋体" w:cs="Times New Roman"/>
          <w:spacing w:val="-3"/>
          <w:sz w:val="24"/>
          <w:szCs w:val="24"/>
        </w:rPr>
        <w:t>人</w:t>
      </w:r>
      <w:r>
        <w:rPr>
          <w:rFonts w:ascii="宋体" w:hAnsi="宋体" w:eastAsia="宋体" w:cs="Times New Roman"/>
          <w:sz w:val="24"/>
          <w:szCs w:val="24"/>
        </w:rPr>
        <w:t>（</w:t>
      </w:r>
      <w:r>
        <w:rPr>
          <w:rFonts w:ascii="宋体" w:hAnsi="宋体" w:eastAsia="宋体" w:cs="Times New Roman"/>
          <w:spacing w:val="-3"/>
          <w:sz w:val="24"/>
          <w:szCs w:val="24"/>
        </w:rPr>
        <w:t>单</w:t>
      </w:r>
      <w:r>
        <w:rPr>
          <w:rFonts w:ascii="宋体" w:hAnsi="宋体" w:eastAsia="宋体" w:cs="Times New Roman"/>
          <w:sz w:val="24"/>
          <w:szCs w:val="24"/>
        </w:rPr>
        <w:t>位</w:t>
      </w:r>
      <w:r>
        <w:rPr>
          <w:rFonts w:ascii="宋体" w:hAnsi="宋体" w:eastAsia="宋体" w:cs="Times New Roman"/>
          <w:spacing w:val="-3"/>
          <w:sz w:val="24"/>
          <w:szCs w:val="24"/>
        </w:rPr>
        <w:t>负</w:t>
      </w:r>
      <w:r>
        <w:rPr>
          <w:rFonts w:ascii="宋体" w:hAnsi="宋体" w:eastAsia="宋体" w:cs="Times New Roman"/>
          <w:sz w:val="24"/>
          <w:szCs w:val="24"/>
        </w:rPr>
        <w:t>责人</w:t>
      </w:r>
      <w:r>
        <w:rPr>
          <w:rFonts w:ascii="宋体" w:hAnsi="宋体" w:eastAsia="宋体" w:cs="Times New Roman"/>
          <w:spacing w:val="-3"/>
          <w:sz w:val="24"/>
          <w:szCs w:val="24"/>
        </w:rPr>
        <w:t>）有效期内的身</w:t>
      </w:r>
      <w:r>
        <w:rPr>
          <w:rFonts w:hint="eastAsia" w:ascii="宋体" w:hAnsi="宋体" w:eastAsia="宋体" w:cs="Times New Roman"/>
          <w:spacing w:val="-3"/>
          <w:sz w:val="24"/>
          <w:szCs w:val="24"/>
        </w:rPr>
        <w:t>份</w:t>
      </w:r>
      <w:r>
        <w:rPr>
          <w:rFonts w:ascii="宋体" w:hAnsi="宋体" w:eastAsia="宋体" w:cs="Times New Roman"/>
          <w:spacing w:val="-3"/>
          <w:sz w:val="24"/>
          <w:szCs w:val="24"/>
        </w:rPr>
        <w:t>证正反面</w:t>
      </w:r>
      <w:r>
        <w:rPr>
          <w:rFonts w:hint="eastAsia" w:ascii="宋体" w:hAnsi="宋体" w:eastAsia="宋体" w:cs="Times New Roman"/>
          <w:spacing w:val="-3"/>
          <w:sz w:val="24"/>
          <w:szCs w:val="24"/>
        </w:rPr>
        <w:t>：</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C46E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5F2CD20">
            <w:pPr>
              <w:tabs>
                <w:tab w:val="left" w:pos="5580"/>
              </w:tabs>
              <w:spacing w:line="360" w:lineRule="auto"/>
              <w:jc w:val="left"/>
              <w:rPr>
                <w:rFonts w:ascii="宋体" w:hAnsi="宋体" w:eastAsia="宋体" w:cs="Times New Roman"/>
                <w:color w:val="000000"/>
                <w:sz w:val="24"/>
                <w:szCs w:val="20"/>
              </w:rPr>
            </w:pPr>
          </w:p>
          <w:p w14:paraId="7BF1E2A8">
            <w:pPr>
              <w:tabs>
                <w:tab w:val="left" w:pos="5580"/>
              </w:tabs>
              <w:spacing w:line="360" w:lineRule="auto"/>
              <w:jc w:val="left"/>
              <w:rPr>
                <w:rFonts w:ascii="宋体" w:hAnsi="宋体" w:eastAsia="宋体" w:cs="Times New Roman"/>
                <w:color w:val="000000"/>
                <w:sz w:val="24"/>
                <w:szCs w:val="20"/>
              </w:rPr>
            </w:pPr>
          </w:p>
          <w:p w14:paraId="75E99A17">
            <w:pPr>
              <w:tabs>
                <w:tab w:val="left" w:pos="5580"/>
              </w:tabs>
              <w:spacing w:line="360" w:lineRule="auto"/>
              <w:jc w:val="left"/>
              <w:rPr>
                <w:rFonts w:ascii="宋体" w:hAnsi="宋体" w:eastAsia="宋体" w:cs="Times New Roman"/>
                <w:color w:val="000000"/>
                <w:sz w:val="24"/>
                <w:szCs w:val="20"/>
              </w:rPr>
            </w:pPr>
          </w:p>
        </w:tc>
        <w:tc>
          <w:tcPr>
            <w:tcW w:w="4536" w:type="dxa"/>
          </w:tcPr>
          <w:p w14:paraId="2ED658E7">
            <w:pPr>
              <w:tabs>
                <w:tab w:val="left" w:pos="5580"/>
              </w:tabs>
              <w:spacing w:line="360" w:lineRule="auto"/>
              <w:jc w:val="left"/>
              <w:rPr>
                <w:rFonts w:ascii="宋体" w:hAnsi="宋体" w:eastAsia="宋体" w:cs="Times New Roman"/>
                <w:color w:val="000000"/>
                <w:sz w:val="24"/>
                <w:szCs w:val="20"/>
              </w:rPr>
            </w:pPr>
          </w:p>
          <w:p w14:paraId="285892CF">
            <w:pPr>
              <w:tabs>
                <w:tab w:val="left" w:pos="5580"/>
              </w:tabs>
              <w:spacing w:line="360" w:lineRule="auto"/>
              <w:jc w:val="left"/>
              <w:rPr>
                <w:rFonts w:ascii="宋体" w:hAnsi="宋体" w:eastAsia="宋体" w:cs="Times New Roman"/>
                <w:color w:val="000000"/>
                <w:sz w:val="24"/>
                <w:szCs w:val="20"/>
              </w:rPr>
            </w:pPr>
          </w:p>
          <w:p w14:paraId="1069057D">
            <w:pPr>
              <w:tabs>
                <w:tab w:val="left" w:pos="5580"/>
              </w:tabs>
              <w:spacing w:line="360" w:lineRule="auto"/>
              <w:jc w:val="left"/>
              <w:rPr>
                <w:rFonts w:ascii="宋体" w:hAnsi="宋体" w:eastAsia="宋体" w:cs="Times New Roman"/>
                <w:color w:val="000000"/>
                <w:sz w:val="24"/>
                <w:szCs w:val="20"/>
              </w:rPr>
            </w:pPr>
          </w:p>
        </w:tc>
      </w:tr>
    </w:tbl>
    <w:p w14:paraId="5F0B0506">
      <w:pPr>
        <w:tabs>
          <w:tab w:val="left" w:pos="567"/>
        </w:tabs>
        <w:spacing w:before="120" w:line="583" w:lineRule="auto"/>
        <w:ind w:right="4305"/>
        <w:rPr>
          <w:rFonts w:ascii="宋体" w:hAnsi="宋体" w:eastAsia="宋体" w:cs="Times New Roman"/>
          <w:spacing w:val="-3"/>
          <w:sz w:val="24"/>
          <w:szCs w:val="24"/>
        </w:rPr>
      </w:pPr>
    </w:p>
    <w:p w14:paraId="5919D3FC">
      <w:pPr>
        <w:spacing w:line="360" w:lineRule="auto"/>
        <w:rPr>
          <w:rFonts w:ascii="Calibri" w:hAnsi="Calibri" w:eastAsia="宋体" w:cs="Times New Roman"/>
          <w:sz w:val="24"/>
          <w:szCs w:val="24"/>
        </w:rPr>
      </w:pPr>
      <w:r>
        <w:rPr>
          <w:rFonts w:hint="eastAsia" w:ascii="宋体" w:hAnsi="宋体" w:eastAsia="宋体" w:cs="Times New Roman"/>
          <w:color w:val="000000"/>
          <w:sz w:val="24"/>
          <w:szCs w:val="24"/>
        </w:rPr>
        <w:t>供应商</w:t>
      </w:r>
      <w:r>
        <w:rPr>
          <w:rFonts w:ascii="宋体" w:hAnsi="宋体" w:eastAsia="宋体" w:cs="Times New Roman"/>
          <w:color w:val="000000"/>
          <w:sz w:val="24"/>
          <w:szCs w:val="24"/>
        </w:rPr>
        <w:t>名称（加盖公章）</w:t>
      </w:r>
      <w:r>
        <w:rPr>
          <w:rFonts w:ascii="宋体" w:hAnsi="宋体" w:eastAsia="宋体" w:cs="Times New Roman"/>
          <w:color w:val="000000"/>
          <w:sz w:val="24"/>
          <w:szCs w:val="24"/>
          <w:lang w:val="zh-CN"/>
        </w:rPr>
        <w:t>：</w:t>
      </w:r>
      <w:r>
        <w:rPr>
          <w:rFonts w:hint="eastAsia" w:ascii="Calibri" w:hAnsi="Calibri" w:eastAsia="宋体" w:cs="Times New Roman"/>
          <w:sz w:val="24"/>
          <w:szCs w:val="24"/>
          <w:u w:val="single"/>
        </w:rPr>
        <w:t xml:space="preserve">             </w:t>
      </w:r>
    </w:p>
    <w:p w14:paraId="743BE579">
      <w:pPr>
        <w:spacing w:line="360" w:lineRule="auto"/>
        <w:rPr>
          <w:rFonts w:ascii="Calibri" w:hAnsi="Calibri" w:eastAsia="宋体" w:cs="Times New Roman"/>
          <w:sz w:val="24"/>
          <w:szCs w:val="24"/>
        </w:rPr>
      </w:pPr>
      <w:r>
        <w:rPr>
          <w:rFonts w:hint="eastAsia" w:ascii="宋体" w:hAnsi="宋体" w:eastAsia="宋体" w:cs="Times New Roman"/>
          <w:spacing w:val="-3"/>
          <w:sz w:val="24"/>
          <w:szCs w:val="24"/>
        </w:rPr>
        <w:t>法定代表人（</w:t>
      </w:r>
      <w:r>
        <w:rPr>
          <w:rFonts w:ascii="宋体" w:hAnsi="宋体" w:eastAsia="宋体" w:cs="Times New Roman"/>
          <w:sz w:val="24"/>
          <w:szCs w:val="24"/>
        </w:rPr>
        <w:t>单位负责人</w:t>
      </w:r>
      <w:r>
        <w:rPr>
          <w:rFonts w:hint="eastAsia" w:ascii="宋体" w:hAnsi="宋体" w:eastAsia="宋体" w:cs="Times New Roman"/>
          <w:spacing w:val="-3"/>
          <w:sz w:val="24"/>
          <w:szCs w:val="24"/>
        </w:rPr>
        <w:t>）（签字、签章或印鉴）：</w:t>
      </w:r>
      <w:r>
        <w:rPr>
          <w:rFonts w:hint="eastAsia" w:ascii="Calibri" w:hAnsi="Calibri" w:eastAsia="宋体" w:cs="Times New Roman"/>
          <w:sz w:val="24"/>
          <w:szCs w:val="24"/>
          <w:u w:val="single"/>
        </w:rPr>
        <w:t xml:space="preserve">             </w:t>
      </w:r>
    </w:p>
    <w:p w14:paraId="41BBA0E6">
      <w:pPr>
        <w:spacing w:line="360" w:lineRule="auto"/>
        <w:rPr>
          <w:rFonts w:ascii="Calibri" w:hAnsi="Calibri" w:eastAsia="宋体" w:cs="Times New Roman"/>
          <w:sz w:val="24"/>
          <w:szCs w:val="24"/>
        </w:rPr>
      </w:pPr>
    </w:p>
    <w:p w14:paraId="238F866E">
      <w:pPr>
        <w:spacing w:line="360" w:lineRule="auto"/>
        <w:rPr>
          <w:rFonts w:ascii="Calibri" w:hAnsi="Calibri" w:eastAsia="宋体" w:cs="Times New Roman"/>
          <w:sz w:val="24"/>
          <w:szCs w:val="24"/>
        </w:rPr>
      </w:pPr>
      <w:r>
        <w:rPr>
          <w:rFonts w:hint="eastAsia" w:ascii="Calibri" w:hAnsi="Calibri" w:eastAsia="宋体" w:cs="Times New Roman"/>
          <w:sz w:val="24"/>
          <w:szCs w:val="24"/>
        </w:rPr>
        <w:t>日期：    年     月     日</w:t>
      </w:r>
    </w:p>
    <w:p w14:paraId="6706D2E6">
      <w:pPr>
        <w:spacing w:line="360" w:lineRule="auto"/>
        <w:rPr>
          <w:rFonts w:ascii="Calibri" w:hAnsi="Calibri" w:eastAsia="宋体" w:cs="Times New Roman"/>
          <w:sz w:val="24"/>
          <w:szCs w:val="24"/>
        </w:rPr>
      </w:pPr>
    </w:p>
    <w:p w14:paraId="3912D29F"/>
    <w:p w14:paraId="3DB662C1">
      <w:pPr>
        <w:keepNext/>
        <w:keepLines/>
        <w:spacing w:before="260" w:after="260" w:line="416" w:lineRule="auto"/>
        <w:jc w:val="left"/>
        <w:outlineLvl w:val="1"/>
        <w:rPr>
          <w:rFonts w:ascii="黑体" w:hAnsi="黑体" w:eastAsia="黑体" w:cs="Times New Roman"/>
          <w:b/>
          <w:i/>
          <w:color w:val="000000"/>
          <w:sz w:val="32"/>
          <w:szCs w:val="32"/>
          <w:u w:val="single"/>
        </w:rPr>
      </w:pPr>
      <w:r>
        <w:rPr>
          <w:rFonts w:hint="eastAsia" w:ascii="Arial" w:hAnsi="Arial" w:eastAsia="宋体" w:cs="Arial"/>
          <w:i/>
          <w:iCs/>
          <w:sz w:val="36"/>
          <w:u w:val="single"/>
        </w:rPr>
        <w:t>十、磋商响应函</w:t>
      </w:r>
    </w:p>
    <w:p w14:paraId="2DBC8827">
      <w:pPr>
        <w:tabs>
          <w:tab w:val="left" w:pos="360"/>
        </w:tabs>
        <w:spacing w:line="360" w:lineRule="auto"/>
        <w:jc w:val="center"/>
        <w:rPr>
          <w:rFonts w:ascii="Times New Roman" w:hAnsi="Times New Roman" w:eastAsia="宋体" w:cs="Times New Roman"/>
          <w:color w:val="000000"/>
          <w:sz w:val="24"/>
          <w:szCs w:val="24"/>
        </w:rPr>
      </w:pPr>
      <w:r>
        <w:rPr>
          <w:rFonts w:hint="eastAsia" w:ascii="黑体" w:hAnsi="黑体" w:eastAsia="黑体" w:cs="宋体"/>
          <w:bCs/>
          <w:sz w:val="36"/>
          <w:szCs w:val="28"/>
        </w:rPr>
        <w:t>磋商响应函</w:t>
      </w:r>
    </w:p>
    <w:p w14:paraId="55A9F611">
      <w:pPr>
        <w:spacing w:line="500" w:lineRule="exact"/>
        <w:jc w:val="left"/>
        <w:rPr>
          <w:rFonts w:ascii="Calibri" w:hAnsi="Calibri" w:eastAsia="宋体" w:cs="Times New Roman"/>
          <w:sz w:val="24"/>
          <w:szCs w:val="24"/>
        </w:rPr>
      </w:pPr>
      <w:r>
        <w:rPr>
          <w:rFonts w:hint="eastAsia" w:ascii="宋体" w:hAnsi="宋体" w:eastAsia="宋体" w:cs="Times New Roman"/>
          <w:color w:val="000000"/>
          <w:sz w:val="24"/>
          <w:szCs w:val="21"/>
        </w:rPr>
        <w:t>致：</w:t>
      </w:r>
      <w:r>
        <w:rPr>
          <w:rFonts w:hint="eastAsia" w:ascii="Calibri" w:hAnsi="Calibri" w:eastAsia="宋体" w:cs="Times New Roman"/>
          <w:i/>
          <w:sz w:val="24"/>
          <w:szCs w:val="24"/>
          <w:u w:val="single"/>
        </w:rPr>
        <w:t>采购人名称</w:t>
      </w:r>
    </w:p>
    <w:p w14:paraId="2B86FF70">
      <w:pPr>
        <w:spacing w:line="500" w:lineRule="exact"/>
        <w:ind w:firstLine="240"/>
        <w:jc w:val="left"/>
        <w:rPr>
          <w:rFonts w:ascii="宋体" w:hAnsi="宋体" w:eastAsia="宋体" w:cs="Times New Roman"/>
          <w:color w:val="000000"/>
          <w:sz w:val="24"/>
          <w:szCs w:val="21"/>
        </w:rPr>
      </w:pPr>
      <w:r>
        <w:rPr>
          <w:rFonts w:hint="eastAsia" w:ascii="宋体" w:hAnsi="宋体" w:eastAsia="宋体" w:cs="Times New Roman"/>
          <w:color w:val="000000"/>
          <w:sz w:val="24"/>
          <w:szCs w:val="21"/>
        </w:rPr>
        <w:t>根据贵方的_________________号磋商文件，正式授权下述签字人_________________(姓名)代表我方______________（供应商的名称），全权处理本次项目磋商采购的有关事宜。</w:t>
      </w:r>
    </w:p>
    <w:p w14:paraId="5A5A12C4">
      <w:pPr>
        <w:spacing w:line="500" w:lineRule="exact"/>
        <w:ind w:firstLine="480"/>
        <w:jc w:val="left"/>
        <w:rPr>
          <w:rFonts w:ascii="宋体" w:hAnsi="宋体" w:eastAsia="宋体" w:cs="Times New Roman"/>
          <w:color w:val="000000"/>
          <w:sz w:val="24"/>
          <w:szCs w:val="21"/>
        </w:rPr>
      </w:pPr>
      <w:r>
        <w:rPr>
          <w:rFonts w:hint="eastAsia" w:ascii="宋体" w:hAnsi="宋体" w:eastAsia="宋体" w:cs="Times New Roman"/>
          <w:color w:val="000000"/>
          <w:sz w:val="24"/>
          <w:szCs w:val="21"/>
        </w:rPr>
        <w:t>据此函，__________签字人兹宣布同意如下：</w:t>
      </w:r>
    </w:p>
    <w:p w14:paraId="5FCF70F2">
      <w:pPr>
        <w:spacing w:line="500" w:lineRule="exact"/>
        <w:ind w:firstLine="480"/>
        <w:jc w:val="left"/>
        <w:rPr>
          <w:rFonts w:ascii="宋体" w:hAnsi="宋体" w:eastAsia="宋体" w:cs="Times New Roman"/>
          <w:color w:val="000000"/>
          <w:sz w:val="24"/>
          <w:szCs w:val="21"/>
        </w:rPr>
      </w:pPr>
      <w:r>
        <w:rPr>
          <w:rFonts w:hint="eastAsia" w:ascii="宋体" w:hAnsi="宋体" w:eastAsia="宋体" w:cs="Times New Roman"/>
          <w:color w:val="000000"/>
          <w:sz w:val="24"/>
          <w:szCs w:val="21"/>
        </w:rPr>
        <w:t>1.按磋商文件规定的各项要求，向买方提供所需服务（包含与服务相关的货物、工程）。</w:t>
      </w:r>
    </w:p>
    <w:p w14:paraId="48483D75">
      <w:pPr>
        <w:spacing w:line="500" w:lineRule="exact"/>
        <w:ind w:firstLine="480"/>
        <w:jc w:val="left"/>
        <w:rPr>
          <w:rFonts w:ascii="宋体" w:hAnsi="宋体" w:eastAsia="宋体" w:cs="Times New Roman"/>
          <w:color w:val="000000"/>
          <w:sz w:val="24"/>
          <w:szCs w:val="21"/>
        </w:rPr>
      </w:pPr>
      <w:r>
        <w:rPr>
          <w:rFonts w:hint="eastAsia" w:ascii="宋体" w:hAnsi="宋体" w:eastAsia="宋体" w:cs="Times New Roman"/>
          <w:color w:val="000000"/>
          <w:sz w:val="24"/>
          <w:szCs w:val="21"/>
        </w:rPr>
        <w:t>2.我们完全理解贵方不一定将合同授予最低报价的供应商。</w:t>
      </w:r>
    </w:p>
    <w:p w14:paraId="36BA7532">
      <w:pPr>
        <w:spacing w:line="500" w:lineRule="exact"/>
        <w:ind w:firstLine="480"/>
        <w:jc w:val="left"/>
        <w:rPr>
          <w:rFonts w:ascii="宋体" w:hAnsi="宋体" w:eastAsia="宋体" w:cs="Times New Roman"/>
          <w:color w:val="000000"/>
          <w:sz w:val="24"/>
          <w:szCs w:val="21"/>
        </w:rPr>
      </w:pPr>
      <w:r>
        <w:rPr>
          <w:rFonts w:hint="eastAsia" w:ascii="宋体" w:hAnsi="宋体" w:eastAsia="宋体" w:cs="Times New Roman"/>
          <w:color w:val="000000"/>
          <w:sz w:val="24"/>
          <w:szCs w:val="21"/>
        </w:rPr>
        <w:t>3.我们已详细审核全部磋商文件及其有效补充文件，我们知道必须放弃提出含糊不清或误解问题的权利。</w:t>
      </w:r>
    </w:p>
    <w:p w14:paraId="37C444B6">
      <w:pPr>
        <w:spacing w:line="500" w:lineRule="exact"/>
        <w:ind w:firstLine="480"/>
        <w:jc w:val="left"/>
        <w:rPr>
          <w:rFonts w:ascii="宋体" w:hAnsi="宋体" w:eastAsia="宋体" w:cs="Times New Roman"/>
          <w:color w:val="000000"/>
          <w:sz w:val="24"/>
          <w:szCs w:val="21"/>
        </w:rPr>
      </w:pPr>
      <w:r>
        <w:rPr>
          <w:rFonts w:hint="eastAsia" w:ascii="宋体" w:hAnsi="宋体" w:eastAsia="宋体" w:cs="Times New Roman"/>
          <w:color w:val="000000"/>
          <w:sz w:val="24"/>
          <w:szCs w:val="21"/>
        </w:rPr>
        <w:t>4.我们同意从规定的开启日期起遵循本响应文件，并在规定的磋商有效期期满之前均具有约束力。</w:t>
      </w:r>
    </w:p>
    <w:p w14:paraId="752E965D">
      <w:pPr>
        <w:spacing w:line="500" w:lineRule="exact"/>
        <w:ind w:firstLine="480"/>
        <w:jc w:val="left"/>
        <w:rPr>
          <w:rFonts w:ascii="宋体" w:hAnsi="宋体" w:eastAsia="宋体" w:cs="Times New Roman"/>
          <w:color w:val="000000"/>
          <w:sz w:val="24"/>
          <w:szCs w:val="21"/>
        </w:rPr>
      </w:pPr>
      <w:r>
        <w:rPr>
          <w:rFonts w:ascii="宋体" w:hAnsi="宋体" w:eastAsia="宋体" w:cs="Times New Roman"/>
          <w:color w:val="000000"/>
          <w:sz w:val="24"/>
          <w:szCs w:val="21"/>
        </w:rPr>
        <w:t>5</w:t>
      </w:r>
      <w:r>
        <w:rPr>
          <w:rFonts w:hint="eastAsia" w:ascii="宋体" w:hAnsi="宋体" w:eastAsia="宋体" w:cs="Times New Roman"/>
          <w:color w:val="000000"/>
          <w:sz w:val="24"/>
          <w:szCs w:val="21"/>
        </w:rPr>
        <w:t>.同意向贵方提供贵方可能另外要求的与磋商采购有关的任何证据或资料，并保证我方已提供和将要提供的文件是真实的、准确的。</w:t>
      </w:r>
    </w:p>
    <w:p w14:paraId="1630F6D2">
      <w:pPr>
        <w:spacing w:line="500" w:lineRule="exact"/>
        <w:ind w:firstLine="480"/>
        <w:jc w:val="left"/>
        <w:rPr>
          <w:rFonts w:ascii="宋体" w:hAnsi="宋体" w:eastAsia="宋体" w:cs="Times New Roman"/>
          <w:color w:val="000000"/>
          <w:sz w:val="24"/>
          <w:szCs w:val="21"/>
        </w:rPr>
      </w:pPr>
      <w:r>
        <w:rPr>
          <w:rFonts w:ascii="宋体" w:hAnsi="宋体" w:eastAsia="宋体" w:cs="Times New Roman"/>
          <w:color w:val="000000"/>
          <w:sz w:val="24"/>
          <w:szCs w:val="21"/>
        </w:rPr>
        <w:t>6</w:t>
      </w:r>
      <w:r>
        <w:rPr>
          <w:rFonts w:hint="eastAsia" w:ascii="宋体" w:hAnsi="宋体" w:eastAsia="宋体" w:cs="Times New Roman"/>
          <w:color w:val="000000"/>
          <w:sz w:val="24"/>
          <w:szCs w:val="21"/>
        </w:rPr>
        <w:t>.一旦我方成交,我方将根据磋商文件的规定，严格履行合同的责任和义务,并保证在磋商文件规定的时间完成项目，交付买方验收、使用。</w:t>
      </w:r>
    </w:p>
    <w:p w14:paraId="06F1C148">
      <w:pPr>
        <w:spacing w:line="500" w:lineRule="exact"/>
        <w:ind w:firstLine="480"/>
        <w:jc w:val="left"/>
        <w:rPr>
          <w:rFonts w:ascii="宋体" w:hAnsi="宋体" w:eastAsia="宋体" w:cs="Times New Roman"/>
          <w:color w:val="000000"/>
          <w:sz w:val="24"/>
          <w:szCs w:val="21"/>
        </w:rPr>
      </w:pPr>
      <w:r>
        <w:rPr>
          <w:rFonts w:ascii="宋体" w:hAnsi="宋体" w:eastAsia="宋体" w:cs="Times New Roman"/>
          <w:color w:val="000000"/>
          <w:sz w:val="24"/>
          <w:szCs w:val="21"/>
        </w:rPr>
        <w:t>7</w:t>
      </w:r>
      <w:r>
        <w:rPr>
          <w:rFonts w:hint="eastAsia" w:ascii="宋体" w:hAnsi="宋体" w:eastAsia="宋体" w:cs="Times New Roman"/>
          <w:color w:val="000000"/>
          <w:sz w:val="24"/>
          <w:szCs w:val="21"/>
        </w:rPr>
        <w:t>.与本磋商有关的正式通讯地址为：</w:t>
      </w:r>
    </w:p>
    <w:p w14:paraId="520DEDAA">
      <w:pPr>
        <w:spacing w:line="500" w:lineRule="exact"/>
        <w:ind w:firstLine="480"/>
        <w:jc w:val="left"/>
        <w:rPr>
          <w:rFonts w:ascii="宋体" w:hAnsi="宋体" w:eastAsia="宋体" w:cs="Times New Roman"/>
          <w:color w:val="000000"/>
          <w:sz w:val="24"/>
          <w:szCs w:val="21"/>
        </w:rPr>
      </w:pPr>
      <w:r>
        <w:rPr>
          <w:rFonts w:hint="eastAsia" w:ascii="宋体" w:hAnsi="宋体" w:eastAsia="宋体" w:cs="Times New Roman"/>
          <w:color w:val="000000"/>
          <w:sz w:val="24"/>
          <w:szCs w:val="21"/>
        </w:rPr>
        <w:t>地        址：</w:t>
      </w:r>
    </w:p>
    <w:p w14:paraId="1AEEA0B8">
      <w:pPr>
        <w:spacing w:line="500" w:lineRule="exact"/>
        <w:ind w:firstLine="480"/>
        <w:jc w:val="left"/>
        <w:rPr>
          <w:rFonts w:ascii="宋体" w:hAnsi="宋体" w:eastAsia="宋体" w:cs="Times New Roman"/>
          <w:color w:val="000000"/>
          <w:sz w:val="24"/>
          <w:szCs w:val="21"/>
        </w:rPr>
      </w:pPr>
      <w:r>
        <w:rPr>
          <w:rFonts w:hint="eastAsia" w:ascii="宋体" w:hAnsi="宋体" w:eastAsia="宋体" w:cs="Times New Roman"/>
          <w:color w:val="000000"/>
          <w:sz w:val="24"/>
          <w:szCs w:val="21"/>
        </w:rPr>
        <w:t>邮        编：</w:t>
      </w:r>
    </w:p>
    <w:p w14:paraId="2353BA19">
      <w:pPr>
        <w:spacing w:line="500" w:lineRule="exact"/>
        <w:ind w:firstLine="480"/>
        <w:jc w:val="left"/>
        <w:rPr>
          <w:rFonts w:ascii="宋体" w:hAnsi="宋体" w:eastAsia="宋体" w:cs="Times New Roman"/>
          <w:color w:val="000000"/>
          <w:sz w:val="24"/>
          <w:szCs w:val="21"/>
        </w:rPr>
      </w:pPr>
      <w:r>
        <w:rPr>
          <w:rFonts w:hint="eastAsia" w:ascii="宋体" w:hAnsi="宋体" w:eastAsia="宋体" w:cs="Times New Roman"/>
          <w:color w:val="000000"/>
          <w:sz w:val="24"/>
          <w:szCs w:val="21"/>
        </w:rPr>
        <w:t>电        话：</w:t>
      </w:r>
    </w:p>
    <w:p w14:paraId="16462716">
      <w:pPr>
        <w:spacing w:line="500" w:lineRule="exact"/>
        <w:ind w:firstLine="480"/>
        <w:jc w:val="left"/>
        <w:rPr>
          <w:rFonts w:ascii="宋体" w:hAnsi="宋体" w:eastAsia="宋体" w:cs="Times New Roman"/>
          <w:color w:val="000000"/>
          <w:sz w:val="24"/>
          <w:szCs w:val="21"/>
        </w:rPr>
      </w:pPr>
      <w:r>
        <w:rPr>
          <w:rFonts w:hint="eastAsia" w:ascii="宋体" w:hAnsi="宋体" w:eastAsia="宋体" w:cs="Times New Roman"/>
          <w:color w:val="000000"/>
          <w:sz w:val="24"/>
          <w:szCs w:val="21"/>
        </w:rPr>
        <w:t>传        真：</w:t>
      </w:r>
    </w:p>
    <w:p w14:paraId="4512B486">
      <w:pPr>
        <w:spacing w:line="500" w:lineRule="exact"/>
        <w:ind w:firstLine="480"/>
        <w:jc w:val="left"/>
        <w:rPr>
          <w:rFonts w:ascii="宋体" w:hAnsi="宋体" w:eastAsia="宋体" w:cs="Times New Roman"/>
          <w:color w:val="000000"/>
          <w:sz w:val="24"/>
          <w:szCs w:val="21"/>
        </w:rPr>
      </w:pPr>
      <w:r>
        <w:rPr>
          <w:rFonts w:hint="eastAsia" w:ascii="宋体" w:hAnsi="宋体" w:eastAsia="宋体" w:cs="Times New Roman"/>
          <w:color w:val="000000"/>
          <w:sz w:val="24"/>
          <w:szCs w:val="21"/>
        </w:rPr>
        <w:t>供应商开户行：</w:t>
      </w:r>
    </w:p>
    <w:p w14:paraId="3D2D47A6">
      <w:pPr>
        <w:spacing w:line="500" w:lineRule="exact"/>
        <w:ind w:firstLine="480"/>
        <w:jc w:val="left"/>
        <w:rPr>
          <w:rFonts w:ascii="宋体" w:hAnsi="宋体" w:eastAsia="宋体" w:cs="Times New Roman"/>
          <w:color w:val="000000"/>
          <w:sz w:val="24"/>
          <w:szCs w:val="21"/>
        </w:rPr>
      </w:pPr>
      <w:r>
        <w:rPr>
          <w:rFonts w:hint="eastAsia" w:ascii="宋体" w:hAnsi="宋体" w:eastAsia="宋体" w:cs="Times New Roman"/>
          <w:color w:val="000000"/>
          <w:sz w:val="24"/>
          <w:szCs w:val="21"/>
        </w:rPr>
        <w:t xml:space="preserve">账        号： </w:t>
      </w:r>
    </w:p>
    <w:p w14:paraId="6F88DAD4"/>
    <w:p w14:paraId="6E384C84"/>
    <w:p w14:paraId="4905C438">
      <w:pPr>
        <w:spacing w:line="360" w:lineRule="auto"/>
        <w:ind w:firstLine="48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供应商（盖章）：</w:t>
      </w:r>
    </w:p>
    <w:p w14:paraId="23393F0A">
      <w:pPr>
        <w:spacing w:line="360" w:lineRule="auto"/>
        <w:ind w:firstLine="48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法定代表人</w:t>
      </w:r>
      <w:r>
        <w:rPr>
          <w:rFonts w:ascii="Calibri" w:hAnsi="Calibri" w:eastAsia="宋体" w:cs="Times New Roman"/>
          <w:sz w:val="24"/>
          <w:szCs w:val="24"/>
        </w:rPr>
        <w:t>（单位负责人）</w:t>
      </w:r>
      <w:r>
        <w:rPr>
          <w:rFonts w:hint="eastAsia" w:ascii="Times New Roman" w:hAnsi="Times New Roman" w:eastAsia="宋体" w:cs="Times New Roman"/>
          <w:color w:val="000000"/>
          <w:sz w:val="24"/>
          <w:szCs w:val="24"/>
        </w:rPr>
        <w:t>或委托代理人（签字或盖章）：</w:t>
      </w:r>
    </w:p>
    <w:p w14:paraId="364725C9">
      <w:pPr>
        <w:spacing w:line="500" w:lineRule="exact"/>
        <w:ind w:firstLine="48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日期：    年     月     日</w:t>
      </w:r>
    </w:p>
    <w:p w14:paraId="6864260F"/>
    <w:p w14:paraId="0C7829CF"/>
    <w:p w14:paraId="36718A78">
      <w:pPr>
        <w:keepNext/>
        <w:keepLines/>
        <w:spacing w:before="360" w:after="200" w:line="360" w:lineRule="auto"/>
        <w:jc w:val="left"/>
        <w:outlineLvl w:val="1"/>
        <w:rPr>
          <w:rFonts w:ascii="Arial" w:hAnsi="Arial" w:eastAsia="宋体" w:cs="Arial"/>
          <w:sz w:val="36"/>
        </w:rPr>
      </w:pPr>
      <w:r>
        <w:rPr>
          <w:rFonts w:hint="eastAsia" w:ascii="Arial" w:hAnsi="Arial" w:eastAsia="宋体" w:cs="Arial"/>
          <w:sz w:val="36"/>
        </w:rPr>
        <w:t>十一、中小企业声明函（服务）（分包号：**）</w:t>
      </w:r>
    </w:p>
    <w:p w14:paraId="3FECE5D1">
      <w:pPr>
        <w:tabs>
          <w:tab w:val="left" w:pos="360"/>
        </w:tabs>
        <w:spacing w:line="360" w:lineRule="auto"/>
        <w:jc w:val="center"/>
        <w:rPr>
          <w:rFonts w:ascii="宋体" w:hAnsi="宋体" w:eastAsia="宋体" w:cs="Times New Roman"/>
          <w:color w:val="000000"/>
          <w:sz w:val="24"/>
          <w:szCs w:val="24"/>
        </w:rPr>
      </w:pPr>
      <w:r>
        <w:rPr>
          <w:rFonts w:hint="eastAsia" w:ascii="黑体" w:hAnsi="黑体" w:eastAsia="黑体" w:cs="宋体"/>
          <w:bCs/>
          <w:sz w:val="36"/>
          <w:szCs w:val="28"/>
        </w:rPr>
        <w:t>中小企业声明函</w:t>
      </w:r>
    </w:p>
    <w:p w14:paraId="1F757C63">
      <w:pPr>
        <w:spacing w:line="500" w:lineRule="exact"/>
        <w:ind w:firstLine="480"/>
        <w:rPr>
          <w:rFonts w:ascii="宋体" w:hAnsi="宋体"/>
          <w:sz w:val="24"/>
        </w:rPr>
      </w:pPr>
      <w:r>
        <w:rPr>
          <w:rFonts w:hint="eastAsia" w:ascii="宋体" w:hAnsi="宋体" w:eastAsia="宋体" w:cs="Times New Roman"/>
          <w:color w:val="000000"/>
          <w:sz w:val="24"/>
          <w:szCs w:val="24"/>
        </w:rPr>
        <w:t>本公司（联合体）郑重声明，根据《政府采购促进中小企业发展管理办法》(财库〔2020〕46号)的规定，本公司（联合体）参加</w:t>
      </w:r>
      <w:r>
        <w:rPr>
          <w:rFonts w:hint="eastAsia" w:ascii="宋体" w:hAnsi="宋体" w:eastAsia="宋体" w:cs="Times New Roman"/>
          <w:color w:val="000000"/>
          <w:sz w:val="24"/>
          <w:szCs w:val="24"/>
          <w:u w:val="single"/>
        </w:rPr>
        <w:t>（单位名称）</w:t>
      </w:r>
      <w:r>
        <w:rPr>
          <w:rFonts w:hint="eastAsia" w:ascii="宋体" w:hAnsi="宋体" w:eastAsia="宋体" w:cs="Times New Roman"/>
          <w:color w:val="000000"/>
          <w:sz w:val="24"/>
          <w:szCs w:val="24"/>
        </w:rPr>
        <w:t>的</w:t>
      </w:r>
      <w:r>
        <w:rPr>
          <w:rFonts w:hint="eastAsia" w:ascii="宋体" w:hAnsi="宋体" w:eastAsia="宋体" w:cs="Times New Roman"/>
          <w:color w:val="000000"/>
          <w:sz w:val="24"/>
          <w:szCs w:val="24"/>
          <w:u w:val="single"/>
        </w:rPr>
        <w:t>（项目名称）</w:t>
      </w:r>
      <w:r>
        <w:rPr>
          <w:rFonts w:hint="eastAsia" w:ascii="宋体" w:hAnsi="宋体" w:eastAsia="宋体" w:cs="Times New Roman"/>
          <w:color w:val="000000"/>
          <w:sz w:val="24"/>
          <w:szCs w:val="24"/>
        </w:rPr>
        <w:t>（项目编号：</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，分包号：</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）采购活动，提供的</w:t>
      </w:r>
      <w:r>
        <w:rPr>
          <w:rFonts w:ascii="宋体" w:hAnsi="宋体"/>
          <w:sz w:val="24"/>
        </w:rPr>
        <w:t>服务全部由符合政策要求的中小企业承接。</w:t>
      </w:r>
    </w:p>
    <w:p w14:paraId="7CECF47E">
      <w:pPr>
        <w:spacing w:line="500" w:lineRule="exact"/>
        <w:ind w:firstLine="480"/>
        <w:rPr>
          <w:rFonts w:ascii="宋体" w:hAnsi="宋体" w:eastAsia="宋体" w:cs="Times New Roman"/>
          <w:i/>
          <w:color w:val="000000"/>
          <w:sz w:val="24"/>
          <w:szCs w:val="24"/>
          <w:u w:val="single"/>
        </w:rPr>
      </w:pPr>
      <w:r>
        <w:rPr>
          <w:rFonts w:hint="eastAsia" w:ascii="宋体" w:hAnsi="宋体" w:eastAsia="宋体" w:cs="Times New Roman"/>
          <w:color w:val="000000"/>
          <w:sz w:val="24"/>
          <w:szCs w:val="24"/>
          <w:u w:val="single"/>
        </w:rPr>
        <w:t>（标的名称）</w:t>
      </w:r>
      <w:r>
        <w:rPr>
          <w:rFonts w:hint="eastAsia" w:ascii="宋体" w:hAnsi="宋体" w:eastAsia="宋体" w:cs="Times New Roman"/>
          <w:color w:val="000000"/>
          <w:sz w:val="24"/>
          <w:szCs w:val="24"/>
        </w:rPr>
        <w:t>，属于</w:t>
      </w:r>
      <w:r>
        <w:rPr>
          <w:rFonts w:hint="eastAsia" w:ascii="宋体" w:hAnsi="宋体" w:eastAsia="宋体" w:cs="Times New Roman"/>
          <w:color w:val="000000"/>
          <w:sz w:val="24"/>
          <w:szCs w:val="24"/>
          <w:u w:val="single"/>
        </w:rPr>
        <w:t>（采购文件中明确的所属行业）</w:t>
      </w:r>
      <w:r>
        <w:rPr>
          <w:rFonts w:hint="eastAsia" w:ascii="宋体" w:hAnsi="宋体" w:eastAsia="宋体" w:cs="Times New Roman"/>
          <w:color w:val="000000"/>
          <w:sz w:val="24"/>
          <w:szCs w:val="24"/>
        </w:rPr>
        <w:t>行业；承接企业为</w:t>
      </w:r>
      <w:r>
        <w:rPr>
          <w:rFonts w:hint="eastAsia" w:ascii="宋体" w:hAnsi="宋体" w:eastAsia="宋体" w:cs="Times New Roman"/>
          <w:color w:val="000000"/>
          <w:sz w:val="24"/>
          <w:szCs w:val="24"/>
          <w:u w:val="single"/>
        </w:rPr>
        <w:t>（企业名称）</w:t>
      </w:r>
      <w:r>
        <w:rPr>
          <w:rFonts w:hint="eastAsia" w:ascii="宋体" w:hAnsi="宋体" w:eastAsia="宋体" w:cs="Times New Roman"/>
          <w:color w:val="000000"/>
          <w:sz w:val="24"/>
          <w:szCs w:val="24"/>
        </w:rPr>
        <w:t>，从业人员</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人，营业收入为</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万元，资产总额为</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万元，属于</w:t>
      </w:r>
      <w:r>
        <w:rPr>
          <w:rFonts w:hint="eastAsia" w:ascii="宋体" w:hAnsi="宋体" w:eastAsia="宋体" w:cs="Times New Roman"/>
          <w:color w:val="000000"/>
          <w:sz w:val="24"/>
          <w:szCs w:val="24"/>
          <w:u w:val="single"/>
        </w:rPr>
        <w:t>（中型企业、小型企业、微型企业）</w:t>
      </w:r>
      <w:r>
        <w:rPr>
          <w:rFonts w:hint="eastAsia" w:ascii="宋体" w:hAnsi="宋体" w:eastAsia="宋体" w:cs="Times New Roman"/>
          <w:color w:val="000000"/>
          <w:sz w:val="24"/>
          <w:szCs w:val="24"/>
        </w:rPr>
        <w:t>。</w:t>
      </w:r>
    </w:p>
    <w:p w14:paraId="0AF13F4D">
      <w:pPr>
        <w:spacing w:line="500" w:lineRule="exact"/>
        <w:ind w:firstLine="480"/>
        <w:rPr>
          <w:rFonts w:ascii="宋体" w:hAnsi="宋体" w:eastAsia="宋体" w:cs="Times New Roman"/>
          <w:color w:val="000000"/>
          <w:sz w:val="24"/>
          <w:szCs w:val="24"/>
        </w:rPr>
      </w:pPr>
      <w:r>
        <w:rPr>
          <w:rFonts w:hint="eastAsia" w:ascii="宋体" w:hAnsi="宋体" w:eastAsia="宋体" w:cs="Times New Roman"/>
          <w:color w:val="000000"/>
          <w:sz w:val="24"/>
          <w:szCs w:val="24"/>
        </w:rPr>
        <w:t>以上企业，不属于大企业的分支机构，不存在控股股东为大企业的情形，也不存在与大企业的负责人为同一人的情形。</w:t>
      </w:r>
    </w:p>
    <w:p w14:paraId="41085BD4">
      <w:pPr>
        <w:spacing w:line="500" w:lineRule="exact"/>
        <w:ind w:firstLine="480"/>
        <w:rPr>
          <w:rFonts w:ascii="宋体" w:hAnsi="宋体" w:eastAsia="宋体" w:cs="Times New Roman"/>
          <w:color w:val="000000"/>
          <w:sz w:val="24"/>
          <w:szCs w:val="24"/>
        </w:rPr>
      </w:pPr>
      <w:r>
        <w:rPr>
          <w:rFonts w:hint="eastAsia" w:ascii="宋体" w:hAnsi="宋体" w:eastAsia="宋体" w:cs="Times New Roman"/>
          <w:color w:val="000000"/>
          <w:sz w:val="24"/>
          <w:szCs w:val="24"/>
        </w:rPr>
        <w:t>本企业对上述声明内容的真实性负责。如有虚假，将依法承担相应责任。</w:t>
      </w:r>
    </w:p>
    <w:p w14:paraId="5791BCD6">
      <w:pPr>
        <w:spacing w:line="560" w:lineRule="exact"/>
        <w:ind w:right="1620"/>
        <w:rPr>
          <w:rFonts w:ascii="宋体" w:hAnsi="宋体" w:eastAsia="宋体" w:cs="Times New Roman"/>
          <w:color w:val="000000"/>
          <w:sz w:val="24"/>
          <w:szCs w:val="24"/>
        </w:rPr>
      </w:pPr>
    </w:p>
    <w:p w14:paraId="4C1CB111">
      <w:pPr>
        <w:spacing w:line="560" w:lineRule="exact"/>
        <w:ind w:right="1620" w:firstLine="2880"/>
        <w:rPr>
          <w:rFonts w:ascii="宋体" w:hAnsi="宋体" w:eastAsia="宋体" w:cs="Times New Roman"/>
          <w:color w:val="000000"/>
          <w:sz w:val="24"/>
          <w:szCs w:val="24"/>
        </w:rPr>
      </w:pPr>
      <w:r>
        <w:rPr>
          <w:rFonts w:hint="eastAsia" w:ascii="宋体" w:hAnsi="宋体" w:eastAsia="宋体" w:cs="Times New Roman"/>
          <w:color w:val="000000"/>
          <w:sz w:val="24"/>
          <w:szCs w:val="24"/>
        </w:rPr>
        <w:t>企业名称（盖章）：</w:t>
      </w:r>
    </w:p>
    <w:p w14:paraId="3F8778D6">
      <w:pPr>
        <w:spacing w:line="560" w:lineRule="exact"/>
        <w:ind w:right="1140" w:firstLine="2880"/>
        <w:rPr>
          <w:rFonts w:ascii="宋体" w:hAnsi="宋体" w:eastAsia="宋体" w:cs="Times New Roman"/>
          <w:color w:val="000000"/>
          <w:sz w:val="24"/>
          <w:szCs w:val="24"/>
        </w:rPr>
      </w:pPr>
      <w:r>
        <w:rPr>
          <w:rFonts w:hint="eastAsia" w:ascii="宋体" w:hAnsi="宋体" w:eastAsia="宋体" w:cs="Times New Roman"/>
          <w:color w:val="000000"/>
          <w:sz w:val="24"/>
          <w:szCs w:val="24"/>
        </w:rPr>
        <w:t>日   期：</w:t>
      </w:r>
    </w:p>
    <w:p w14:paraId="369E6A8F">
      <w:pPr>
        <w:spacing w:line="360" w:lineRule="auto"/>
        <w:ind w:right="480"/>
        <w:jc w:val="left"/>
        <w:rPr>
          <w:rFonts w:ascii="宋体" w:hAnsi="宋体" w:eastAsia="宋体" w:cs="Times New Roman"/>
          <w:sz w:val="24"/>
          <w:szCs w:val="24"/>
        </w:rPr>
      </w:pPr>
    </w:p>
    <w:p w14:paraId="22403BB7">
      <w:pPr>
        <w:spacing w:line="360" w:lineRule="auto"/>
        <w:ind w:right="480"/>
        <w:jc w:val="left"/>
        <w:rPr>
          <w:rFonts w:ascii="宋体" w:hAnsi="宋体" w:eastAsia="宋体" w:cs="Times New Roman"/>
          <w:sz w:val="24"/>
          <w:szCs w:val="24"/>
        </w:rPr>
      </w:pPr>
    </w:p>
    <w:p w14:paraId="63392733">
      <w:pPr>
        <w:spacing w:line="360" w:lineRule="auto"/>
        <w:ind w:right="480"/>
        <w:jc w:val="left"/>
        <w:rPr>
          <w:rFonts w:ascii="宋体" w:hAnsi="宋体" w:eastAsia="宋体" w:cs="Times New Roman"/>
          <w:sz w:val="24"/>
          <w:szCs w:val="24"/>
        </w:rPr>
      </w:pPr>
      <w:r>
        <w:rPr>
          <w:rFonts w:hint="eastAsia" w:ascii="宋体" w:hAnsi="宋体" w:eastAsia="宋体" w:cs="Times New Roman"/>
          <w:sz w:val="24"/>
          <w:szCs w:val="24"/>
        </w:rPr>
        <w:t>填报说明：</w:t>
      </w:r>
    </w:p>
    <w:p w14:paraId="3A7E8370">
      <w:pPr>
        <w:spacing w:line="360" w:lineRule="auto"/>
        <w:ind w:firstLine="480"/>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从业人员、营业收入、资产总额填报上一年度数据，无上一年度数据的新成立企业可不填报。</w:t>
      </w:r>
    </w:p>
    <w:p w14:paraId="6763BE20">
      <w:pPr>
        <w:spacing w:line="360" w:lineRule="auto"/>
        <w:ind w:firstLine="480"/>
        <w:jc w:val="left"/>
        <w:rPr>
          <w:rFonts w:ascii="宋体" w:hAnsi="宋体" w:eastAsia="宋体" w:cs="Times New Roman"/>
          <w:sz w:val="24"/>
          <w:szCs w:val="24"/>
        </w:rPr>
      </w:pPr>
      <w:r>
        <w:rPr>
          <w:rFonts w:hint="eastAsia" w:ascii="宋体" w:hAnsi="宋体" w:eastAsia="宋体" w:cs="Times New Roman"/>
          <w:sz w:val="24"/>
          <w:szCs w:val="24"/>
        </w:rPr>
        <w:t>2、请供应商如实填写，</w:t>
      </w:r>
      <w:r>
        <w:rPr>
          <w:rFonts w:hint="eastAsia" w:ascii="宋体" w:hAnsi="宋体"/>
          <w:sz w:val="24"/>
        </w:rPr>
        <w:t>所填内容将作为评审的依据</w:t>
      </w:r>
      <w:r>
        <w:rPr>
          <w:rFonts w:hint="eastAsia" w:ascii="宋体" w:hAnsi="宋体" w:eastAsia="宋体" w:cs="Times New Roman"/>
          <w:sz w:val="24"/>
          <w:szCs w:val="24"/>
        </w:rPr>
        <w:t>，如填写不完整或不一致或填写有误，将不享受扶持政策。</w:t>
      </w:r>
    </w:p>
    <w:p w14:paraId="129E734D">
      <w:pPr>
        <w:spacing w:line="360" w:lineRule="auto"/>
        <w:ind w:firstLine="480"/>
        <w:jc w:val="left"/>
        <w:rPr>
          <w:rFonts w:ascii="宋体" w:hAnsi="宋体" w:eastAsia="宋体" w:cs="Times New Roman"/>
          <w:sz w:val="24"/>
          <w:szCs w:val="24"/>
        </w:rPr>
      </w:pPr>
      <w:r>
        <w:rPr>
          <w:rFonts w:hint="eastAsia" w:ascii="宋体" w:hAnsi="宋体" w:eastAsia="宋体" w:cs="Times New Roman"/>
          <w:sz w:val="24"/>
          <w:szCs w:val="24"/>
        </w:rPr>
        <w:t>3、成交供应商的《中小企业声明函》随成交结果公开，接受社会监督。</w:t>
      </w:r>
    </w:p>
    <w:p w14:paraId="22145C1A"/>
    <w:p w14:paraId="0DF12073"/>
    <w:p w14:paraId="229A3A06">
      <w:pPr>
        <w:keepNext/>
        <w:keepLines/>
        <w:spacing w:before="360" w:after="200" w:line="360" w:lineRule="auto"/>
        <w:jc w:val="left"/>
        <w:outlineLvl w:val="1"/>
        <w:rPr>
          <w:rFonts w:ascii="Arial" w:hAnsi="Arial" w:eastAsia="宋体" w:cs="Arial"/>
          <w:sz w:val="36"/>
        </w:rPr>
      </w:pPr>
      <w:r>
        <w:rPr>
          <w:rFonts w:hint="eastAsia" w:ascii="Arial" w:hAnsi="Arial" w:eastAsia="宋体" w:cs="Arial"/>
          <w:sz w:val="36"/>
        </w:rPr>
        <w:t>十二、残疾人福利性单位声明函（分包号：**）</w:t>
      </w:r>
    </w:p>
    <w:p w14:paraId="7A1A0E24">
      <w:pPr>
        <w:tabs>
          <w:tab w:val="left" w:pos="360"/>
        </w:tabs>
        <w:spacing w:line="360" w:lineRule="auto"/>
        <w:jc w:val="center"/>
        <w:rPr>
          <w:rFonts w:ascii="宋体" w:hAnsi="宋体" w:eastAsia="宋体" w:cs="Times New Roman"/>
          <w:color w:val="000000"/>
          <w:sz w:val="24"/>
          <w:szCs w:val="21"/>
        </w:rPr>
      </w:pPr>
      <w:r>
        <w:rPr>
          <w:rFonts w:hint="eastAsia" w:ascii="黑体" w:hAnsi="黑体" w:eastAsia="黑体" w:cs="宋体"/>
          <w:bCs/>
          <w:sz w:val="36"/>
          <w:szCs w:val="28"/>
        </w:rPr>
        <w:t>残疾人福利性单位声明函</w:t>
      </w:r>
    </w:p>
    <w:p w14:paraId="1D802BAE">
      <w:pPr>
        <w:spacing w:line="500" w:lineRule="exact"/>
        <w:ind w:firstLine="480"/>
        <w:jc w:val="left"/>
        <w:rPr>
          <w:rFonts w:ascii="宋体" w:hAnsi="宋体" w:eastAsia="宋体" w:cs="Times New Roman"/>
          <w:color w:val="000000"/>
          <w:sz w:val="24"/>
          <w:szCs w:val="21"/>
        </w:rPr>
      </w:pPr>
      <w:r>
        <w:rPr>
          <w:rFonts w:hint="eastAsia" w:ascii="宋体" w:hAnsi="宋体" w:eastAsia="宋体" w:cs="Times New Roman"/>
          <w:color w:val="000000"/>
          <w:sz w:val="24"/>
          <w:szCs w:val="21"/>
        </w:rPr>
        <w:t>本单位郑重声明，根据《财政部 民政部 中国残疾人联合会关于促进残疾人就业政府采购政策的通知》（财库</w:t>
      </w:r>
      <w:r>
        <w:rPr>
          <w:rFonts w:hint="eastAsia" w:ascii="宋体" w:hAnsi="宋体" w:eastAsia="宋体" w:cs="Times New Roman"/>
          <w:color w:val="000000"/>
          <w:sz w:val="24"/>
          <w:szCs w:val="24"/>
        </w:rPr>
        <w:t>〔2017〕</w:t>
      </w:r>
      <w:r>
        <w:rPr>
          <w:rFonts w:hint="eastAsia" w:ascii="宋体" w:hAnsi="宋体" w:eastAsia="宋体" w:cs="Times New Roman"/>
          <w:color w:val="000000"/>
          <w:sz w:val="24"/>
          <w:szCs w:val="21"/>
        </w:rPr>
        <w:t>141号）的规定，本单位为符合条件的残疾人福利性单位，且本单位参加</w:t>
      </w:r>
      <w:r>
        <w:rPr>
          <w:rFonts w:hint="eastAsia" w:ascii="宋体" w:hAnsi="宋体" w:eastAsia="宋体" w:cs="Times New Roman"/>
          <w:color w:val="000000"/>
          <w:sz w:val="24"/>
          <w:szCs w:val="21"/>
          <w:u w:val="single"/>
        </w:rPr>
        <w:t xml:space="preserve">           </w:t>
      </w:r>
      <w:r>
        <w:rPr>
          <w:rFonts w:hint="eastAsia" w:ascii="宋体" w:hAnsi="宋体" w:eastAsia="宋体" w:cs="Times New Roman"/>
          <w:color w:val="000000"/>
          <w:sz w:val="24"/>
          <w:szCs w:val="21"/>
        </w:rPr>
        <w:t>单位的</w:t>
      </w:r>
      <w:r>
        <w:rPr>
          <w:rFonts w:hint="eastAsia" w:ascii="宋体" w:hAnsi="宋体" w:eastAsia="宋体" w:cs="Times New Roman"/>
          <w:color w:val="000000"/>
          <w:sz w:val="24"/>
          <w:szCs w:val="21"/>
          <w:u w:val="single"/>
        </w:rPr>
        <w:t xml:space="preserve">           </w:t>
      </w:r>
      <w:r>
        <w:rPr>
          <w:rFonts w:hint="eastAsia" w:ascii="宋体" w:hAnsi="宋体" w:eastAsia="宋体" w:cs="Times New Roman"/>
          <w:color w:val="000000"/>
          <w:sz w:val="24"/>
          <w:szCs w:val="21"/>
        </w:rPr>
        <w:t>项目（</w:t>
      </w:r>
      <w:r>
        <w:rPr>
          <w:rFonts w:hint="eastAsia" w:ascii="宋体" w:hAnsi="宋体" w:eastAsia="宋体" w:cs="Times New Roman"/>
          <w:color w:val="000000"/>
          <w:sz w:val="24"/>
          <w:szCs w:val="24"/>
        </w:rPr>
        <w:t>项目编号：</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，分包号：</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1"/>
        </w:rPr>
        <w:t>）采购活动由本单位提供全部服务。</w:t>
      </w:r>
    </w:p>
    <w:p w14:paraId="0406F774">
      <w:pPr>
        <w:spacing w:line="500" w:lineRule="exact"/>
        <w:ind w:firstLine="480"/>
        <w:rPr>
          <w:rFonts w:ascii="宋体" w:hAnsi="宋体" w:eastAsia="宋体" w:cs="Times New Roman"/>
          <w:color w:val="000000"/>
          <w:sz w:val="24"/>
          <w:szCs w:val="21"/>
        </w:rPr>
      </w:pPr>
      <w:r>
        <w:rPr>
          <w:rFonts w:hint="eastAsia" w:ascii="宋体" w:hAnsi="宋体" w:eastAsia="宋体" w:cs="Times New Roman"/>
          <w:color w:val="000000"/>
          <w:sz w:val="24"/>
          <w:szCs w:val="21"/>
        </w:rPr>
        <w:t>本单位对上述声明的真实性负责。如有虚假，将依法承担相应责任。</w:t>
      </w:r>
    </w:p>
    <w:p w14:paraId="6A2FC0C1">
      <w:pPr>
        <w:spacing w:line="500" w:lineRule="exact"/>
        <w:ind w:firstLine="480"/>
        <w:rPr>
          <w:rFonts w:ascii="宋体" w:hAnsi="宋体" w:eastAsia="宋体" w:cs="Times New Roman"/>
          <w:color w:val="000000"/>
          <w:sz w:val="24"/>
          <w:szCs w:val="21"/>
        </w:rPr>
      </w:pPr>
    </w:p>
    <w:p w14:paraId="70A52496">
      <w:pPr>
        <w:spacing w:line="560" w:lineRule="exact"/>
        <w:ind w:right="1620" w:firstLine="2880"/>
        <w:rPr>
          <w:rFonts w:ascii="宋体" w:hAnsi="宋体" w:eastAsia="宋体" w:cs="Times New Roman"/>
          <w:color w:val="000000"/>
          <w:sz w:val="24"/>
          <w:szCs w:val="24"/>
        </w:rPr>
      </w:pPr>
      <w:r>
        <w:rPr>
          <w:rFonts w:hint="eastAsia" w:ascii="宋体" w:hAnsi="宋体" w:eastAsia="宋体" w:cs="Times New Roman"/>
          <w:color w:val="000000"/>
          <w:sz w:val="24"/>
          <w:szCs w:val="24"/>
        </w:rPr>
        <w:t>单位名称（盖章）：</w:t>
      </w:r>
    </w:p>
    <w:p w14:paraId="00FEA0C0">
      <w:pPr>
        <w:spacing w:line="560" w:lineRule="exact"/>
        <w:ind w:right="1140" w:firstLine="2880"/>
        <w:rPr>
          <w:rFonts w:ascii="宋体" w:hAnsi="宋体" w:eastAsia="宋体" w:cs="Times New Roman"/>
          <w:color w:val="000000"/>
          <w:sz w:val="24"/>
          <w:szCs w:val="24"/>
        </w:rPr>
      </w:pPr>
      <w:r>
        <w:rPr>
          <w:rFonts w:hint="eastAsia" w:ascii="宋体" w:hAnsi="宋体" w:eastAsia="宋体" w:cs="Times New Roman"/>
          <w:color w:val="000000"/>
          <w:sz w:val="24"/>
          <w:szCs w:val="24"/>
        </w:rPr>
        <w:t>日   期：</w:t>
      </w:r>
    </w:p>
    <w:p w14:paraId="2F710722"/>
    <w:p w14:paraId="51C08767"/>
    <w:p w14:paraId="32AB45D6">
      <w:pPr>
        <w:spacing w:line="360" w:lineRule="auto"/>
        <w:rPr>
          <w:rFonts w:ascii="宋体" w:hAnsi="宋体" w:eastAsia="宋体" w:cs="Times New Roman"/>
          <w:bCs/>
          <w:sz w:val="24"/>
          <w:szCs w:val="24"/>
        </w:rPr>
      </w:pPr>
      <w:r>
        <w:rPr>
          <w:rFonts w:hint="eastAsia" w:ascii="宋体" w:hAnsi="宋体" w:eastAsia="宋体" w:cs="Times New Roman"/>
          <w:bCs/>
          <w:sz w:val="24"/>
          <w:szCs w:val="24"/>
        </w:rPr>
        <w:t>填报说明：</w:t>
      </w:r>
    </w:p>
    <w:p w14:paraId="5A5DAC89">
      <w:pPr>
        <w:spacing w:line="360" w:lineRule="auto"/>
        <w:ind w:firstLine="480"/>
        <w:jc w:val="left"/>
        <w:rPr>
          <w:rFonts w:ascii="宋体" w:hAnsi="宋体" w:eastAsia="宋体" w:cs="Times New Roman"/>
          <w:bCs/>
          <w:sz w:val="24"/>
          <w:szCs w:val="24"/>
        </w:rPr>
      </w:pPr>
      <w:r>
        <w:rPr>
          <w:rFonts w:hint="eastAsia" w:ascii="宋体" w:hAnsi="宋体" w:eastAsia="宋体" w:cs="Times New Roman"/>
          <w:bCs/>
          <w:sz w:val="24"/>
          <w:szCs w:val="24"/>
        </w:rPr>
        <w:t>1、</w:t>
      </w:r>
      <w:r>
        <w:rPr>
          <w:rFonts w:hint="eastAsia" w:ascii="宋体" w:hAnsi="宋体" w:eastAsia="宋体" w:cs="Times New Roman"/>
          <w:sz w:val="24"/>
          <w:szCs w:val="24"/>
        </w:rPr>
        <w:t>请供应商如实填写，</w:t>
      </w:r>
      <w:r>
        <w:rPr>
          <w:rFonts w:hint="eastAsia" w:ascii="宋体" w:hAnsi="宋体"/>
          <w:bCs/>
          <w:sz w:val="24"/>
        </w:rPr>
        <w:t>所填内容将作为评审的依据</w:t>
      </w:r>
      <w:r>
        <w:rPr>
          <w:rFonts w:hint="eastAsia" w:ascii="宋体" w:hAnsi="宋体" w:eastAsia="宋体" w:cs="Times New Roman"/>
          <w:sz w:val="24"/>
          <w:szCs w:val="24"/>
        </w:rPr>
        <w:t>，如填写不完整或不一致或填写有误，将不享受扶持政策。</w:t>
      </w:r>
    </w:p>
    <w:p w14:paraId="30E25245">
      <w:pPr>
        <w:spacing w:line="360" w:lineRule="auto"/>
        <w:ind w:firstLine="480"/>
        <w:jc w:val="left"/>
        <w:rPr>
          <w:rFonts w:ascii="Times New Roman" w:hAnsi="Times New Roman" w:eastAsia="宋体" w:cs="Times New Roman"/>
          <w:sz w:val="24"/>
          <w:szCs w:val="24"/>
        </w:rPr>
      </w:pPr>
      <w:r>
        <w:rPr>
          <w:rFonts w:hint="eastAsia" w:ascii="宋体" w:hAnsi="宋体" w:eastAsia="宋体" w:cs="Times New Roman"/>
          <w:bCs/>
          <w:sz w:val="24"/>
          <w:szCs w:val="24"/>
        </w:rPr>
        <w:t>2、成交供应商的《残疾人福利性单位声明函》随成交结果公开</w:t>
      </w:r>
      <w:r>
        <w:rPr>
          <w:rFonts w:hint="eastAsia" w:ascii="宋体" w:hAnsi="宋体" w:eastAsia="宋体" w:cs="Times New Roman"/>
          <w:sz w:val="24"/>
          <w:szCs w:val="24"/>
        </w:rPr>
        <w:t>，接受社会监督</w:t>
      </w:r>
      <w:r>
        <w:rPr>
          <w:rFonts w:hint="eastAsia" w:ascii="宋体" w:hAnsi="宋体" w:eastAsia="宋体" w:cs="Times New Roman"/>
          <w:bCs/>
          <w:sz w:val="24"/>
          <w:szCs w:val="24"/>
        </w:rPr>
        <w:t>。</w:t>
      </w:r>
    </w:p>
    <w:p w14:paraId="21601B28"/>
    <w:p w14:paraId="4746EFFF"/>
    <w:p w14:paraId="15AB0648"/>
    <w:p w14:paraId="2DCE81D5">
      <w:pPr>
        <w:keepNext/>
        <w:keepLines/>
        <w:spacing w:before="360" w:after="200" w:line="360" w:lineRule="auto"/>
        <w:jc w:val="left"/>
        <w:outlineLvl w:val="1"/>
        <w:rPr>
          <w:rFonts w:ascii="Arial" w:hAnsi="Arial" w:eastAsia="宋体" w:cs="Arial"/>
          <w:sz w:val="36"/>
        </w:rPr>
      </w:pPr>
      <w:r>
        <w:rPr>
          <w:rFonts w:hint="eastAsia" w:ascii="Arial" w:hAnsi="Arial" w:eastAsia="宋体" w:cs="Arial"/>
          <w:sz w:val="36"/>
        </w:rPr>
        <w:br w:type="column"/>
      </w:r>
      <w:r>
        <w:rPr>
          <w:rFonts w:hint="eastAsia" w:ascii="Arial" w:hAnsi="Arial" w:eastAsia="宋体" w:cs="Arial"/>
          <w:sz w:val="36"/>
        </w:rPr>
        <w:t>十三、联合体协议（参考格式）（分包号：**）</w:t>
      </w:r>
    </w:p>
    <w:p w14:paraId="2009FA35">
      <w:pPr>
        <w:tabs>
          <w:tab w:val="left" w:pos="360"/>
        </w:tabs>
        <w:spacing w:line="360" w:lineRule="auto"/>
        <w:jc w:val="center"/>
        <w:rPr>
          <w:rFonts w:ascii="宋体" w:hAnsi="宋体" w:eastAsia="宋体" w:cs="Times New Roman"/>
          <w:color w:val="000000"/>
          <w:sz w:val="24"/>
          <w:szCs w:val="21"/>
          <w:u w:val="single"/>
        </w:rPr>
      </w:pPr>
      <w:r>
        <w:rPr>
          <w:rFonts w:hint="eastAsia" w:ascii="黑体" w:hAnsi="黑体" w:eastAsia="黑体" w:cs="宋体"/>
          <w:bCs/>
          <w:sz w:val="36"/>
          <w:szCs w:val="28"/>
        </w:rPr>
        <w:t>联合体协议</w:t>
      </w:r>
    </w:p>
    <w:p w14:paraId="317E3DE7">
      <w:pPr>
        <w:spacing w:line="500" w:lineRule="exact"/>
        <w:rPr>
          <w:rFonts w:ascii="宋体" w:hAnsi="宋体" w:eastAsia="宋体" w:cs="Times New Roman"/>
          <w:color w:val="000000"/>
          <w:sz w:val="24"/>
          <w:szCs w:val="21"/>
        </w:rPr>
      </w:pPr>
      <w:r>
        <w:rPr>
          <w:rFonts w:hint="eastAsia" w:ascii="宋体" w:hAnsi="宋体" w:eastAsia="宋体" w:cs="Times New Roman"/>
          <w:color w:val="000000"/>
          <w:sz w:val="24"/>
          <w:szCs w:val="21"/>
          <w:u w:val="single"/>
        </w:rPr>
        <w:t>（联合体中各供应商全称）</w:t>
      </w:r>
      <w:r>
        <w:rPr>
          <w:rFonts w:hint="eastAsia" w:ascii="宋体" w:hAnsi="宋体" w:eastAsia="宋体" w:cs="Times New Roman"/>
          <w:color w:val="000000"/>
          <w:sz w:val="24"/>
          <w:szCs w:val="21"/>
        </w:rPr>
        <w:t>在此达成以下协议：</w:t>
      </w:r>
    </w:p>
    <w:p w14:paraId="2B533BF8">
      <w:pPr>
        <w:spacing w:line="500" w:lineRule="exact"/>
        <w:ind w:firstLine="480"/>
        <w:rPr>
          <w:rFonts w:ascii="宋体" w:hAnsi="宋体" w:eastAsia="宋体" w:cs="Times New Roman"/>
          <w:color w:val="000000"/>
          <w:sz w:val="24"/>
          <w:szCs w:val="21"/>
        </w:rPr>
      </w:pPr>
      <w:r>
        <w:rPr>
          <w:rFonts w:ascii="宋体" w:hAnsi="宋体" w:eastAsia="宋体" w:cs="Times New Roman"/>
          <w:color w:val="000000"/>
          <w:sz w:val="24"/>
          <w:szCs w:val="21"/>
        </w:rPr>
        <w:t>1</w:t>
      </w:r>
      <w:r>
        <w:rPr>
          <w:rFonts w:hint="eastAsia" w:ascii="宋体" w:hAnsi="宋体" w:eastAsia="宋体" w:cs="Times New Roman"/>
          <w:color w:val="000000"/>
          <w:sz w:val="24"/>
          <w:szCs w:val="21"/>
        </w:rPr>
        <w:t>、我们</w:t>
      </w:r>
      <w:r>
        <w:rPr>
          <w:rFonts w:hint="eastAsia" w:ascii="宋体" w:hAnsi="宋体" w:eastAsia="宋体" w:cs="Times New Roman"/>
          <w:color w:val="000000"/>
          <w:sz w:val="24"/>
          <w:szCs w:val="21"/>
          <w:u w:val="single"/>
        </w:rPr>
        <w:t xml:space="preserve"> （供应商1），（供应商2） ，</w:t>
      </w:r>
      <w:r>
        <w:rPr>
          <w:rFonts w:ascii="宋体" w:hAnsi="宋体" w:eastAsia="宋体" w:cs="Times New Roman"/>
          <w:color w:val="000000"/>
          <w:sz w:val="24"/>
          <w:szCs w:val="21"/>
          <w:u w:val="single"/>
        </w:rPr>
        <w:t>……</w:t>
      </w:r>
      <w:r>
        <w:rPr>
          <w:rFonts w:hint="eastAsia" w:ascii="宋体" w:hAnsi="宋体" w:eastAsia="宋体" w:cs="Times New Roman"/>
          <w:color w:val="000000"/>
          <w:sz w:val="24"/>
          <w:szCs w:val="21"/>
        </w:rPr>
        <w:t>自愿组成联合体，参加</w:t>
      </w:r>
      <w:r>
        <w:rPr>
          <w:rFonts w:hint="eastAsia" w:ascii="宋体" w:hAnsi="宋体" w:eastAsia="宋体" w:cs="Times New Roman"/>
          <w:color w:val="000000"/>
          <w:sz w:val="24"/>
          <w:szCs w:val="24"/>
          <w:u w:val="single"/>
        </w:rPr>
        <w:t>（项目名称）</w:t>
      </w:r>
      <w:r>
        <w:rPr>
          <w:rFonts w:hint="eastAsia" w:ascii="宋体" w:hAnsi="宋体" w:eastAsia="宋体" w:cs="Times New Roman"/>
          <w:color w:val="000000"/>
          <w:sz w:val="24"/>
          <w:szCs w:val="24"/>
        </w:rPr>
        <w:t>（项目编号：</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，分包号：</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r>
        <w:rPr>
          <w:rFonts w:hint="eastAsia" w:ascii="宋体" w:hAnsi="宋体" w:eastAsia="宋体" w:cs="Times New Roman"/>
          <w:color w:val="000000"/>
          <w:sz w:val="24"/>
          <w:szCs w:val="21"/>
        </w:rPr>
        <w:t>的政府采购活动，我联合体指定</w:t>
      </w:r>
      <w:r>
        <w:rPr>
          <w:rFonts w:hint="eastAsia" w:ascii="宋体" w:hAnsi="宋体" w:eastAsia="宋体" w:cs="Times New Roman"/>
          <w:color w:val="000000"/>
          <w:sz w:val="24"/>
          <w:szCs w:val="21"/>
          <w:u w:val="single"/>
        </w:rPr>
        <w:t>（供应商*）</w:t>
      </w:r>
      <w:r>
        <w:rPr>
          <w:rFonts w:hint="eastAsia" w:ascii="宋体" w:hAnsi="宋体" w:eastAsia="宋体" w:cs="Times New Roman"/>
          <w:color w:val="000000"/>
          <w:sz w:val="24"/>
          <w:szCs w:val="21"/>
        </w:rPr>
        <w:t>为牵头单位（牵头单位必须为联合体成员）。</w:t>
      </w:r>
    </w:p>
    <w:p w14:paraId="0DE7E126">
      <w:pPr>
        <w:spacing w:line="500" w:lineRule="exact"/>
        <w:ind w:firstLine="480"/>
        <w:rPr>
          <w:rFonts w:ascii="宋体" w:hAnsi="宋体" w:eastAsia="宋体" w:cs="Times New Roman"/>
          <w:color w:val="000000"/>
          <w:sz w:val="24"/>
          <w:szCs w:val="21"/>
        </w:rPr>
      </w:pPr>
      <w:r>
        <w:rPr>
          <w:rFonts w:ascii="宋体" w:hAnsi="宋体" w:eastAsia="宋体" w:cs="Times New Roman"/>
          <w:color w:val="000000"/>
          <w:sz w:val="24"/>
          <w:szCs w:val="21"/>
        </w:rPr>
        <w:t>2</w:t>
      </w:r>
      <w:r>
        <w:rPr>
          <w:rFonts w:hint="eastAsia" w:ascii="宋体" w:hAnsi="宋体" w:eastAsia="宋体" w:cs="Times New Roman"/>
          <w:color w:val="000000"/>
          <w:sz w:val="24"/>
          <w:szCs w:val="21"/>
        </w:rPr>
        <w:t>、若我们联合中标、成交，</w:t>
      </w:r>
      <w:r>
        <w:rPr>
          <w:rFonts w:hint="eastAsia" w:ascii="宋体" w:hAnsi="宋体" w:eastAsia="宋体" w:cs="Times New Roman"/>
          <w:color w:val="000000"/>
          <w:sz w:val="24"/>
          <w:szCs w:val="21"/>
          <w:u w:val="single"/>
        </w:rPr>
        <w:t>（供应商单位</w:t>
      </w:r>
      <w:r>
        <w:rPr>
          <w:rFonts w:ascii="宋体" w:hAnsi="宋体" w:eastAsia="宋体" w:cs="Times New Roman"/>
          <w:color w:val="000000"/>
          <w:sz w:val="24"/>
          <w:szCs w:val="21"/>
          <w:u w:val="single"/>
        </w:rPr>
        <w:t>1</w:t>
      </w:r>
      <w:r>
        <w:rPr>
          <w:rFonts w:hint="eastAsia" w:ascii="宋体" w:hAnsi="宋体" w:eastAsia="宋体" w:cs="Times New Roman"/>
          <w:color w:val="000000"/>
          <w:sz w:val="24"/>
          <w:szCs w:val="21"/>
          <w:u w:val="single"/>
        </w:rPr>
        <w:t>全称）</w:t>
      </w:r>
      <w:r>
        <w:rPr>
          <w:rFonts w:hint="eastAsia" w:ascii="宋体" w:hAnsi="宋体" w:eastAsia="宋体" w:cs="Times New Roman"/>
          <w:color w:val="000000"/>
          <w:sz w:val="24"/>
          <w:szCs w:val="21"/>
        </w:rPr>
        <w:t>实施项目中</w:t>
      </w:r>
      <w:r>
        <w:rPr>
          <w:rFonts w:hint="eastAsia" w:ascii="宋体" w:hAnsi="宋体" w:eastAsia="宋体" w:cs="Times New Roman"/>
          <w:color w:val="000000"/>
          <w:sz w:val="24"/>
          <w:szCs w:val="21"/>
          <w:u w:val="single"/>
        </w:rPr>
        <w:t>（工作内容）</w:t>
      </w:r>
      <w:r>
        <w:rPr>
          <w:rFonts w:hint="eastAsia" w:ascii="宋体" w:hAnsi="宋体" w:eastAsia="宋体" w:cs="Times New Roman"/>
          <w:color w:val="000000"/>
          <w:sz w:val="24"/>
          <w:szCs w:val="21"/>
        </w:rPr>
        <w:t>部分工作，并承担相应的责任。</w:t>
      </w:r>
      <w:r>
        <w:rPr>
          <w:rFonts w:hint="eastAsia" w:ascii="宋体" w:hAnsi="宋体" w:eastAsia="宋体" w:cs="Times New Roman"/>
          <w:color w:val="000000"/>
          <w:sz w:val="24"/>
          <w:szCs w:val="21"/>
          <w:u w:val="single"/>
        </w:rPr>
        <w:t>（供应商单位</w:t>
      </w:r>
      <w:r>
        <w:rPr>
          <w:rFonts w:ascii="宋体" w:hAnsi="宋体" w:eastAsia="宋体" w:cs="Times New Roman"/>
          <w:color w:val="000000"/>
          <w:sz w:val="24"/>
          <w:szCs w:val="21"/>
          <w:u w:val="single"/>
        </w:rPr>
        <w:t>2</w:t>
      </w:r>
      <w:r>
        <w:rPr>
          <w:rFonts w:hint="eastAsia" w:ascii="宋体" w:hAnsi="宋体" w:eastAsia="宋体" w:cs="Times New Roman"/>
          <w:color w:val="000000"/>
          <w:sz w:val="24"/>
          <w:szCs w:val="21"/>
          <w:u w:val="single"/>
        </w:rPr>
        <w:t>全称）</w:t>
      </w:r>
      <w:r>
        <w:rPr>
          <w:rFonts w:hint="eastAsia" w:ascii="宋体" w:hAnsi="宋体" w:eastAsia="宋体" w:cs="Times New Roman"/>
          <w:color w:val="000000"/>
          <w:sz w:val="24"/>
          <w:szCs w:val="21"/>
        </w:rPr>
        <w:t>实施项目中</w:t>
      </w:r>
      <w:r>
        <w:rPr>
          <w:rFonts w:hint="eastAsia" w:ascii="宋体" w:hAnsi="宋体" w:eastAsia="宋体" w:cs="Times New Roman"/>
          <w:color w:val="000000"/>
          <w:sz w:val="24"/>
          <w:szCs w:val="21"/>
          <w:u w:val="single"/>
        </w:rPr>
        <w:t>（工作内容）</w:t>
      </w:r>
      <w:r>
        <w:rPr>
          <w:rFonts w:hint="eastAsia" w:ascii="宋体" w:hAnsi="宋体" w:eastAsia="宋体" w:cs="Times New Roman"/>
          <w:color w:val="000000"/>
          <w:sz w:val="24"/>
          <w:szCs w:val="21"/>
        </w:rPr>
        <w:t>部分工作，并承担相应的责任……。（注：联合体中各供应商都应明示所承担的工作和相应的责任）。</w:t>
      </w:r>
    </w:p>
    <w:p w14:paraId="1EFFC2DC">
      <w:pPr>
        <w:spacing w:line="500" w:lineRule="exact"/>
        <w:ind w:firstLine="480"/>
        <w:rPr>
          <w:rFonts w:ascii="宋体" w:hAnsi="宋体" w:eastAsia="宋体" w:cs="Times New Roman"/>
          <w:color w:val="000000"/>
          <w:sz w:val="24"/>
          <w:szCs w:val="21"/>
        </w:rPr>
      </w:pPr>
      <w:r>
        <w:rPr>
          <w:rFonts w:ascii="宋体" w:hAnsi="宋体" w:eastAsia="宋体" w:cs="Times New Roman"/>
          <w:color w:val="000000"/>
          <w:sz w:val="24"/>
          <w:szCs w:val="21"/>
        </w:rPr>
        <w:t>3</w:t>
      </w:r>
      <w:r>
        <w:rPr>
          <w:rFonts w:hint="eastAsia" w:ascii="宋体" w:hAnsi="宋体" w:eastAsia="宋体" w:cs="Times New Roman"/>
          <w:color w:val="000000"/>
          <w:sz w:val="24"/>
          <w:szCs w:val="21"/>
        </w:rPr>
        <w:t>、其中</w:t>
      </w:r>
      <w:r>
        <w:rPr>
          <w:rFonts w:ascii="宋体" w:hAnsi="宋体" w:eastAsia="宋体" w:cs="Times New Roman"/>
          <w:color w:val="000000"/>
          <w:sz w:val="24"/>
          <w:szCs w:val="21"/>
          <w:u w:val="single"/>
        </w:rPr>
        <w:t xml:space="preserve">      </w:t>
      </w:r>
      <w:r>
        <w:rPr>
          <w:rFonts w:hint="eastAsia" w:ascii="宋体" w:hAnsi="宋体" w:eastAsia="宋体" w:cs="Times New Roman"/>
          <w:color w:val="000000"/>
          <w:sz w:val="24"/>
          <w:szCs w:val="21"/>
        </w:rPr>
        <w:t>（小型、微型企业/残疾人福利性单位/监狱企业全称）为</w:t>
      </w:r>
      <w:r>
        <w:rPr>
          <w:rFonts w:ascii="宋体" w:hAnsi="宋体" w:eastAsia="宋体" w:cs="Times New Roman"/>
          <w:color w:val="000000"/>
          <w:sz w:val="24"/>
          <w:szCs w:val="21"/>
          <w:u w:val="single"/>
        </w:rPr>
        <w:t xml:space="preserve">    </w:t>
      </w:r>
      <w:r>
        <w:rPr>
          <w:rFonts w:hint="eastAsia" w:ascii="宋体" w:hAnsi="宋体" w:eastAsia="宋体" w:cs="Times New Roman"/>
          <w:color w:val="000000"/>
          <w:sz w:val="24"/>
          <w:szCs w:val="21"/>
        </w:rPr>
        <w:t>（小型、微型企业/残疾人福利性单位/监狱企业）企业，且我们约定该公司/单位所承担的合同金额将占本项目合同总金额的</w:t>
      </w:r>
      <w:r>
        <w:rPr>
          <w:rFonts w:ascii="宋体" w:hAnsi="宋体" w:eastAsia="宋体" w:cs="Times New Roman"/>
          <w:color w:val="000000"/>
          <w:sz w:val="24"/>
          <w:szCs w:val="21"/>
          <w:u w:val="single"/>
        </w:rPr>
        <w:t xml:space="preserve"> </w:t>
      </w:r>
      <w:r>
        <w:rPr>
          <w:rFonts w:hint="eastAsia" w:ascii="宋体" w:hAnsi="宋体" w:eastAsia="宋体" w:cs="Times New Roman"/>
          <w:color w:val="000000"/>
          <w:sz w:val="24"/>
          <w:szCs w:val="21"/>
          <w:u w:val="single"/>
        </w:rPr>
        <w:t xml:space="preserve">  </w:t>
      </w:r>
      <w:r>
        <w:rPr>
          <w:rFonts w:ascii="宋体" w:hAnsi="宋体" w:eastAsia="宋体" w:cs="Times New Roman"/>
          <w:color w:val="000000"/>
          <w:sz w:val="24"/>
          <w:szCs w:val="21"/>
          <w:u w:val="single"/>
        </w:rPr>
        <w:t xml:space="preserve"> </w:t>
      </w:r>
      <w:r>
        <w:rPr>
          <w:rFonts w:ascii="宋体" w:hAnsi="宋体" w:eastAsia="宋体" w:cs="Times New Roman"/>
          <w:color w:val="000000"/>
          <w:sz w:val="24"/>
          <w:szCs w:val="21"/>
        </w:rPr>
        <w:t>%</w:t>
      </w:r>
      <w:r>
        <w:rPr>
          <w:rFonts w:hint="eastAsia" w:ascii="宋体" w:hAnsi="宋体" w:eastAsia="宋体" w:cs="Times New Roman"/>
          <w:color w:val="000000"/>
          <w:sz w:val="24"/>
          <w:szCs w:val="21"/>
        </w:rPr>
        <w:t>。（可选）</w:t>
      </w:r>
    </w:p>
    <w:p w14:paraId="18730F47">
      <w:pPr>
        <w:spacing w:line="500" w:lineRule="exact"/>
        <w:ind w:firstLine="480"/>
        <w:rPr>
          <w:rFonts w:ascii="宋体" w:hAnsi="宋体" w:eastAsia="宋体" w:cs="Times New Roman"/>
          <w:color w:val="000000"/>
          <w:sz w:val="24"/>
          <w:szCs w:val="21"/>
        </w:rPr>
      </w:pPr>
    </w:p>
    <w:p w14:paraId="41C7A0B0">
      <w:pPr>
        <w:spacing w:line="500" w:lineRule="exact"/>
        <w:ind w:firstLine="480"/>
        <w:rPr>
          <w:rFonts w:ascii="宋体" w:hAnsi="宋体" w:eastAsia="宋体" w:cs="Times New Roman"/>
          <w:color w:val="000000"/>
          <w:sz w:val="24"/>
          <w:szCs w:val="21"/>
        </w:rPr>
      </w:pPr>
      <w:r>
        <w:rPr>
          <w:rFonts w:ascii="宋体" w:hAnsi="宋体" w:eastAsia="宋体" w:cs="Times New Roman"/>
          <w:color w:val="000000"/>
          <w:sz w:val="24"/>
          <w:szCs w:val="21"/>
        </w:rPr>
        <w:t xml:space="preserve">                   </w:t>
      </w:r>
      <w:r>
        <w:rPr>
          <w:rFonts w:hint="eastAsia" w:ascii="宋体" w:hAnsi="宋体" w:eastAsia="宋体" w:cs="Times New Roman"/>
          <w:color w:val="000000"/>
          <w:sz w:val="24"/>
          <w:szCs w:val="21"/>
        </w:rPr>
        <w:t xml:space="preserve">                       </w:t>
      </w:r>
    </w:p>
    <w:p w14:paraId="6CB45AD2">
      <w:pPr>
        <w:spacing w:line="360" w:lineRule="auto"/>
        <w:ind w:firstLine="480"/>
        <w:rPr>
          <w:rFonts w:ascii="宋体" w:hAnsi="宋体" w:eastAsia="宋体" w:cs="Times New Roman"/>
          <w:color w:val="000000"/>
          <w:sz w:val="24"/>
          <w:szCs w:val="21"/>
        </w:rPr>
      </w:pPr>
      <w:r>
        <w:rPr>
          <w:rFonts w:hint="eastAsia" w:ascii="宋体" w:hAnsi="宋体" w:eastAsia="宋体" w:cs="Times New Roman"/>
          <w:color w:val="000000"/>
          <w:sz w:val="24"/>
          <w:szCs w:val="21"/>
        </w:rPr>
        <w:t>供应商1全称（公章）：</w:t>
      </w:r>
      <w:r>
        <w:rPr>
          <w:rFonts w:ascii="宋体" w:hAnsi="宋体" w:eastAsia="宋体" w:cs="Times New Roman"/>
          <w:color w:val="000000"/>
          <w:sz w:val="24"/>
          <w:szCs w:val="21"/>
        </w:rPr>
        <w:t xml:space="preserve">     </w:t>
      </w:r>
    </w:p>
    <w:p w14:paraId="35556600">
      <w:pPr>
        <w:spacing w:line="360" w:lineRule="auto"/>
        <w:ind w:firstLine="480"/>
        <w:rPr>
          <w:rFonts w:ascii="宋体" w:hAnsi="宋体" w:eastAsia="宋体" w:cs="Times New Roman"/>
          <w:color w:val="000000"/>
          <w:sz w:val="24"/>
          <w:szCs w:val="21"/>
        </w:rPr>
      </w:pPr>
      <w:r>
        <w:rPr>
          <w:rFonts w:hint="eastAsia" w:ascii="宋体" w:hAnsi="宋体" w:eastAsia="宋体" w:cs="Times New Roman"/>
          <w:color w:val="000000"/>
          <w:sz w:val="24"/>
          <w:szCs w:val="21"/>
        </w:rPr>
        <w:t>法定代表人</w:t>
      </w:r>
      <w:r>
        <w:rPr>
          <w:rFonts w:ascii="宋体" w:hAnsi="宋体" w:eastAsia="宋体" w:cs="Times New Roman"/>
          <w:color w:val="000000"/>
          <w:sz w:val="24"/>
          <w:szCs w:val="21"/>
        </w:rPr>
        <w:t>（单位负责人）</w:t>
      </w:r>
      <w:r>
        <w:rPr>
          <w:rFonts w:hint="eastAsia" w:ascii="宋体" w:hAnsi="宋体" w:eastAsia="宋体" w:cs="Times New Roman"/>
          <w:color w:val="000000"/>
          <w:sz w:val="24"/>
          <w:szCs w:val="21"/>
        </w:rPr>
        <w:t>或委托代理人（签字或盖章）：</w:t>
      </w:r>
      <w:r>
        <w:rPr>
          <w:rFonts w:ascii="宋体" w:hAnsi="宋体" w:eastAsia="宋体" w:cs="Times New Roman"/>
          <w:color w:val="000000"/>
          <w:sz w:val="24"/>
          <w:szCs w:val="21"/>
        </w:rPr>
        <w:t xml:space="preserve">  </w:t>
      </w:r>
    </w:p>
    <w:p w14:paraId="758AA0C8">
      <w:pPr>
        <w:spacing w:line="360" w:lineRule="auto"/>
        <w:ind w:firstLine="480"/>
        <w:rPr>
          <w:rFonts w:ascii="宋体" w:hAnsi="宋体" w:eastAsia="宋体" w:cs="Times New Roman"/>
          <w:color w:val="000000"/>
          <w:sz w:val="24"/>
          <w:szCs w:val="21"/>
        </w:rPr>
      </w:pPr>
      <w:r>
        <w:rPr>
          <w:rFonts w:hint="eastAsia" w:ascii="宋体" w:hAnsi="宋体" w:eastAsia="宋体" w:cs="Times New Roman"/>
          <w:color w:val="000000"/>
          <w:sz w:val="24"/>
          <w:szCs w:val="21"/>
        </w:rPr>
        <w:t>日期：     年   月   日</w:t>
      </w:r>
    </w:p>
    <w:p w14:paraId="5E830409">
      <w:pPr>
        <w:spacing w:line="360" w:lineRule="auto"/>
        <w:ind w:firstLine="480"/>
        <w:rPr>
          <w:rFonts w:ascii="宋体" w:hAnsi="宋体" w:eastAsia="宋体" w:cs="Times New Roman"/>
          <w:sz w:val="24"/>
          <w:szCs w:val="24"/>
        </w:rPr>
      </w:pPr>
    </w:p>
    <w:p w14:paraId="4D3EA969">
      <w:pPr>
        <w:spacing w:line="360" w:lineRule="auto"/>
        <w:ind w:firstLine="480"/>
        <w:rPr>
          <w:rFonts w:ascii="宋体" w:hAnsi="宋体" w:eastAsia="宋体" w:cs="Times New Roman"/>
          <w:color w:val="000000"/>
          <w:sz w:val="24"/>
          <w:szCs w:val="21"/>
        </w:rPr>
      </w:pPr>
      <w:r>
        <w:rPr>
          <w:rFonts w:hint="eastAsia" w:ascii="宋体" w:hAnsi="宋体" w:eastAsia="宋体" w:cs="Times New Roman"/>
          <w:color w:val="000000"/>
          <w:sz w:val="24"/>
          <w:szCs w:val="21"/>
        </w:rPr>
        <w:t>供应商2全称（公章）：</w:t>
      </w:r>
      <w:r>
        <w:rPr>
          <w:rFonts w:ascii="宋体" w:hAnsi="宋体" w:eastAsia="宋体" w:cs="Times New Roman"/>
          <w:color w:val="000000"/>
          <w:sz w:val="24"/>
          <w:szCs w:val="21"/>
        </w:rPr>
        <w:t xml:space="preserve">     </w:t>
      </w:r>
    </w:p>
    <w:p w14:paraId="652CB73E">
      <w:pPr>
        <w:spacing w:line="360" w:lineRule="auto"/>
        <w:ind w:firstLine="480"/>
        <w:rPr>
          <w:rFonts w:ascii="宋体" w:hAnsi="宋体" w:eastAsia="宋体" w:cs="Times New Roman"/>
          <w:color w:val="000000"/>
          <w:sz w:val="24"/>
          <w:szCs w:val="21"/>
        </w:rPr>
      </w:pPr>
      <w:r>
        <w:rPr>
          <w:rFonts w:hint="eastAsia" w:ascii="宋体" w:hAnsi="宋体" w:eastAsia="宋体" w:cs="Times New Roman"/>
          <w:color w:val="000000"/>
          <w:sz w:val="24"/>
          <w:szCs w:val="21"/>
        </w:rPr>
        <w:t>法定代表人</w:t>
      </w:r>
      <w:r>
        <w:rPr>
          <w:rFonts w:ascii="宋体" w:hAnsi="宋体" w:eastAsia="宋体" w:cs="Times New Roman"/>
          <w:color w:val="000000"/>
          <w:sz w:val="24"/>
          <w:szCs w:val="21"/>
        </w:rPr>
        <w:t>（单位负责人）</w:t>
      </w:r>
      <w:r>
        <w:rPr>
          <w:rFonts w:hint="eastAsia" w:ascii="宋体" w:hAnsi="宋体" w:eastAsia="宋体" w:cs="Times New Roman"/>
          <w:color w:val="000000"/>
          <w:sz w:val="24"/>
          <w:szCs w:val="21"/>
        </w:rPr>
        <w:t>或委托代理人（签字或盖章）：</w:t>
      </w:r>
      <w:r>
        <w:rPr>
          <w:rFonts w:ascii="宋体" w:hAnsi="宋体" w:eastAsia="宋体" w:cs="Times New Roman"/>
          <w:color w:val="000000"/>
          <w:sz w:val="24"/>
          <w:szCs w:val="21"/>
        </w:rPr>
        <w:t xml:space="preserve">  </w:t>
      </w:r>
    </w:p>
    <w:p w14:paraId="5019E788">
      <w:pPr>
        <w:spacing w:line="360" w:lineRule="auto"/>
        <w:ind w:firstLine="480"/>
        <w:rPr>
          <w:rFonts w:ascii="宋体" w:hAnsi="宋体" w:eastAsia="宋体" w:cs="Times New Roman"/>
          <w:color w:val="000000"/>
          <w:sz w:val="24"/>
          <w:szCs w:val="21"/>
        </w:rPr>
      </w:pPr>
      <w:r>
        <w:rPr>
          <w:rFonts w:hint="eastAsia" w:ascii="宋体" w:hAnsi="宋体" w:eastAsia="宋体" w:cs="Times New Roman"/>
          <w:color w:val="000000"/>
          <w:sz w:val="24"/>
          <w:szCs w:val="21"/>
        </w:rPr>
        <w:t>日期：     年   月   日</w:t>
      </w:r>
    </w:p>
    <w:p w14:paraId="1C965088">
      <w:pPr>
        <w:spacing w:line="360" w:lineRule="auto"/>
        <w:ind w:firstLine="480"/>
        <w:rPr>
          <w:rFonts w:ascii="宋体" w:hAnsi="宋体" w:eastAsia="宋体" w:cs="Times New Roman"/>
          <w:sz w:val="24"/>
          <w:szCs w:val="24"/>
        </w:rPr>
      </w:pPr>
    </w:p>
    <w:p w14:paraId="40038586">
      <w:p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w:t>
      </w:r>
    </w:p>
    <w:p w14:paraId="3F61ED45">
      <w:pPr>
        <w:spacing w:line="500" w:lineRule="exact"/>
        <w:ind w:firstLine="480"/>
        <w:rPr>
          <w:rFonts w:ascii="宋体" w:hAnsi="宋体" w:eastAsia="宋体" w:cs="Times New Roman"/>
          <w:sz w:val="24"/>
          <w:szCs w:val="24"/>
        </w:rPr>
      </w:pPr>
    </w:p>
    <w:p w14:paraId="3B162A9A">
      <w:pPr>
        <w:spacing w:line="500" w:lineRule="exact"/>
        <w:ind w:firstLine="480"/>
      </w:pPr>
      <w:r>
        <w:rPr>
          <w:rFonts w:hint="eastAsia" w:ascii="宋体" w:hAnsi="宋体" w:eastAsia="宋体" w:cs="Times New Roman"/>
          <w:color w:val="000000"/>
          <w:sz w:val="24"/>
          <w:szCs w:val="21"/>
        </w:rPr>
        <w:t>备注：本磋商文件中要求加盖公章的内容，仅需加盖牵头单位的公章。</w:t>
      </w:r>
    </w:p>
    <w:p w14:paraId="21E2C67B">
      <w:pPr>
        <w:keepNext/>
        <w:keepLines/>
        <w:spacing w:before="360" w:after="200" w:line="360" w:lineRule="auto"/>
        <w:jc w:val="left"/>
        <w:outlineLvl w:val="1"/>
        <w:rPr>
          <w:rFonts w:ascii="Arial" w:hAnsi="Arial" w:eastAsia="宋体" w:cs="Arial"/>
          <w:i/>
          <w:iCs/>
          <w:sz w:val="36"/>
          <w:u w:val="single"/>
        </w:rPr>
      </w:pPr>
      <w:r>
        <w:rPr>
          <w:rFonts w:hint="eastAsia" w:ascii="Arial" w:hAnsi="Arial" w:eastAsia="宋体" w:cs="Arial"/>
          <w:i/>
          <w:iCs/>
          <w:sz w:val="36"/>
          <w:u w:val="single"/>
        </w:rPr>
        <w:t>十四、分项报价表（分包号：**）</w:t>
      </w:r>
    </w:p>
    <w:p w14:paraId="35D7779C">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分项报价表</w:t>
      </w:r>
    </w:p>
    <w:p w14:paraId="6C62D465">
      <w:pPr>
        <w:spacing w:line="360" w:lineRule="auto"/>
        <w:jc w:val="left"/>
        <w:rPr>
          <w:rFonts w:ascii="宋体" w:hAnsi="宋体" w:eastAsia="宋体" w:cs="Times New Roman"/>
          <w:bCs/>
          <w:color w:val="000000"/>
          <w:sz w:val="24"/>
          <w:szCs w:val="24"/>
        </w:rPr>
      </w:pPr>
      <w:r>
        <w:rPr>
          <w:rFonts w:hint="eastAsia" w:ascii="宋体" w:hAnsi="宋体" w:eastAsia="宋体" w:cs="方正仿宋_GBK"/>
          <w:color w:val="000000"/>
          <w:sz w:val="24"/>
          <w:szCs w:val="24"/>
        </w:rPr>
        <w:t>项目名称：      项目编号：      分包号：</w:t>
      </w:r>
      <w:r>
        <w:rPr>
          <w:rFonts w:ascii="宋体" w:hAnsi="宋体" w:eastAsia="宋体" w:cs="Times New Roman"/>
          <w:bCs/>
          <w:color w:val="000000"/>
          <w:sz w:val="24"/>
          <w:szCs w:val="24"/>
        </w:rPr>
        <w:t xml:space="preserve"> </w:t>
      </w:r>
    </w:p>
    <w:p w14:paraId="21481728">
      <w:pPr>
        <w:spacing w:line="360" w:lineRule="auto"/>
        <w:jc w:val="right"/>
        <w:rPr>
          <w:rFonts w:ascii="宋体" w:hAnsi="宋体" w:eastAsia="宋体" w:cs="Times New Roman"/>
          <w:color w:val="000000"/>
          <w:szCs w:val="24"/>
        </w:rPr>
      </w:pPr>
      <w:r>
        <w:rPr>
          <w:rFonts w:hint="eastAsia" w:ascii="宋体" w:hAnsi="宋体" w:eastAsia="宋体" w:cs="Times New Roman"/>
          <w:color w:val="000000"/>
          <w:szCs w:val="24"/>
        </w:rPr>
        <w:t>单位：元</w:t>
      </w:r>
    </w:p>
    <w:tbl>
      <w:tblPr>
        <w:tblStyle w:val="4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756"/>
        <w:gridCol w:w="1417"/>
        <w:gridCol w:w="993"/>
        <w:gridCol w:w="1093"/>
        <w:gridCol w:w="2350"/>
      </w:tblGrid>
      <w:tr w14:paraId="4C48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896" w:type="dxa"/>
            <w:vAlign w:val="center"/>
          </w:tcPr>
          <w:p w14:paraId="4070BDE1">
            <w:pPr>
              <w:spacing w:line="560" w:lineRule="exact"/>
              <w:jc w:val="center"/>
              <w:rPr>
                <w:rFonts w:ascii="宋体" w:hAnsi="宋体"/>
                <w:color w:val="000000"/>
                <w:sz w:val="24"/>
              </w:rPr>
            </w:pPr>
            <w:r>
              <w:rPr>
                <w:rFonts w:hint="eastAsia" w:ascii="宋体" w:hAnsi="宋体"/>
                <w:color w:val="000000"/>
                <w:sz w:val="24"/>
              </w:rPr>
              <w:t>序号</w:t>
            </w:r>
          </w:p>
        </w:tc>
        <w:tc>
          <w:tcPr>
            <w:tcW w:w="1756" w:type="dxa"/>
            <w:vAlign w:val="center"/>
          </w:tcPr>
          <w:p w14:paraId="7E859D5C">
            <w:pPr>
              <w:spacing w:line="560" w:lineRule="exact"/>
              <w:jc w:val="center"/>
              <w:rPr>
                <w:rFonts w:ascii="宋体" w:hAnsi="宋体"/>
                <w:color w:val="000000"/>
                <w:sz w:val="24"/>
              </w:rPr>
            </w:pPr>
            <w:r>
              <w:rPr>
                <w:rFonts w:hint="eastAsia" w:ascii="宋体" w:hAnsi="宋体"/>
                <w:color w:val="000000"/>
                <w:sz w:val="24"/>
              </w:rPr>
              <w:t>产品、服务（标的）名称</w:t>
            </w:r>
          </w:p>
        </w:tc>
        <w:tc>
          <w:tcPr>
            <w:tcW w:w="1417" w:type="dxa"/>
            <w:vAlign w:val="center"/>
          </w:tcPr>
          <w:p w14:paraId="000AFD78">
            <w:pPr>
              <w:spacing w:line="560" w:lineRule="exact"/>
              <w:jc w:val="center"/>
              <w:rPr>
                <w:rFonts w:ascii="宋体" w:hAnsi="宋体"/>
                <w:color w:val="000000"/>
                <w:sz w:val="24"/>
              </w:rPr>
            </w:pPr>
            <w:r>
              <w:rPr>
                <w:rFonts w:hint="eastAsia" w:ascii="宋体" w:hAnsi="宋体"/>
                <w:color w:val="000000"/>
                <w:sz w:val="24"/>
              </w:rPr>
              <w:t>分项单位</w:t>
            </w:r>
          </w:p>
        </w:tc>
        <w:tc>
          <w:tcPr>
            <w:tcW w:w="993" w:type="dxa"/>
            <w:vAlign w:val="center"/>
          </w:tcPr>
          <w:p w14:paraId="6C7A36A0">
            <w:pPr>
              <w:spacing w:line="560" w:lineRule="exact"/>
              <w:jc w:val="center"/>
              <w:rPr>
                <w:rFonts w:ascii="宋体" w:hAnsi="宋体"/>
                <w:color w:val="000000"/>
                <w:sz w:val="24"/>
              </w:rPr>
            </w:pPr>
            <w:r>
              <w:rPr>
                <w:rFonts w:hint="eastAsia" w:ascii="宋体" w:hAnsi="宋体"/>
                <w:color w:val="000000"/>
                <w:sz w:val="24"/>
              </w:rPr>
              <w:t>数量</w:t>
            </w:r>
          </w:p>
        </w:tc>
        <w:tc>
          <w:tcPr>
            <w:tcW w:w="1093" w:type="dxa"/>
            <w:vAlign w:val="center"/>
          </w:tcPr>
          <w:p w14:paraId="303FCD53">
            <w:pPr>
              <w:spacing w:line="560" w:lineRule="exact"/>
              <w:jc w:val="center"/>
              <w:rPr>
                <w:rFonts w:ascii="宋体" w:hAnsi="宋体"/>
                <w:color w:val="000000"/>
                <w:sz w:val="24"/>
              </w:rPr>
            </w:pPr>
            <w:r>
              <w:rPr>
                <w:rFonts w:hint="eastAsia" w:ascii="宋体" w:hAnsi="宋体"/>
                <w:color w:val="000000"/>
                <w:sz w:val="24"/>
              </w:rPr>
              <w:t>单价</w:t>
            </w:r>
          </w:p>
        </w:tc>
        <w:tc>
          <w:tcPr>
            <w:tcW w:w="2350" w:type="dxa"/>
            <w:vAlign w:val="center"/>
          </w:tcPr>
          <w:p w14:paraId="46ECFFE0">
            <w:pPr>
              <w:spacing w:line="560" w:lineRule="exact"/>
              <w:jc w:val="center"/>
              <w:rPr>
                <w:rFonts w:ascii="宋体" w:hAnsi="宋体"/>
                <w:color w:val="000000"/>
                <w:sz w:val="24"/>
              </w:rPr>
            </w:pPr>
            <w:r>
              <w:rPr>
                <w:rFonts w:hint="eastAsia" w:ascii="宋体" w:hAnsi="宋体"/>
                <w:color w:val="000000"/>
                <w:sz w:val="24"/>
              </w:rPr>
              <w:t>单项</w:t>
            </w:r>
          </w:p>
          <w:p w14:paraId="09F6AFB5">
            <w:pPr>
              <w:spacing w:line="560" w:lineRule="exact"/>
              <w:jc w:val="center"/>
              <w:rPr>
                <w:rFonts w:ascii="宋体" w:hAnsi="宋体"/>
                <w:color w:val="000000"/>
                <w:sz w:val="24"/>
              </w:rPr>
            </w:pPr>
            <w:r>
              <w:rPr>
                <w:rFonts w:hint="eastAsia" w:ascii="宋体" w:hAnsi="宋体"/>
                <w:color w:val="000000"/>
                <w:sz w:val="24"/>
              </w:rPr>
              <w:t>合计价</w:t>
            </w:r>
          </w:p>
        </w:tc>
      </w:tr>
      <w:tr w14:paraId="19E3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96" w:type="dxa"/>
            <w:vAlign w:val="center"/>
          </w:tcPr>
          <w:p w14:paraId="2C6EBAA2">
            <w:pPr>
              <w:spacing w:line="560" w:lineRule="exact"/>
              <w:jc w:val="center"/>
              <w:rPr>
                <w:rFonts w:ascii="宋体" w:hAnsi="宋体"/>
                <w:color w:val="000000"/>
                <w:sz w:val="24"/>
              </w:rPr>
            </w:pPr>
          </w:p>
        </w:tc>
        <w:tc>
          <w:tcPr>
            <w:tcW w:w="1756" w:type="dxa"/>
            <w:vAlign w:val="center"/>
          </w:tcPr>
          <w:p w14:paraId="028E8D27">
            <w:pPr>
              <w:spacing w:line="560" w:lineRule="exact"/>
              <w:jc w:val="center"/>
              <w:rPr>
                <w:rFonts w:ascii="宋体" w:hAnsi="宋体"/>
                <w:color w:val="000000"/>
                <w:sz w:val="24"/>
              </w:rPr>
            </w:pPr>
          </w:p>
        </w:tc>
        <w:tc>
          <w:tcPr>
            <w:tcW w:w="1417" w:type="dxa"/>
            <w:vAlign w:val="center"/>
          </w:tcPr>
          <w:p w14:paraId="489F26E5">
            <w:pPr>
              <w:spacing w:line="560" w:lineRule="exact"/>
              <w:jc w:val="center"/>
              <w:rPr>
                <w:rFonts w:ascii="宋体" w:hAnsi="宋体"/>
                <w:color w:val="000000"/>
                <w:sz w:val="24"/>
              </w:rPr>
            </w:pPr>
          </w:p>
        </w:tc>
        <w:tc>
          <w:tcPr>
            <w:tcW w:w="993" w:type="dxa"/>
            <w:vAlign w:val="center"/>
          </w:tcPr>
          <w:p w14:paraId="0ECEACA6">
            <w:pPr>
              <w:spacing w:line="560" w:lineRule="exact"/>
              <w:jc w:val="center"/>
              <w:rPr>
                <w:rFonts w:ascii="宋体" w:hAnsi="宋体"/>
                <w:color w:val="000000"/>
                <w:sz w:val="24"/>
              </w:rPr>
            </w:pPr>
          </w:p>
        </w:tc>
        <w:tc>
          <w:tcPr>
            <w:tcW w:w="1093" w:type="dxa"/>
            <w:vAlign w:val="center"/>
          </w:tcPr>
          <w:p w14:paraId="50E8CC3D">
            <w:pPr>
              <w:spacing w:line="560" w:lineRule="exact"/>
              <w:jc w:val="center"/>
              <w:rPr>
                <w:rFonts w:ascii="宋体" w:hAnsi="宋体"/>
                <w:color w:val="000000"/>
                <w:sz w:val="24"/>
              </w:rPr>
            </w:pPr>
          </w:p>
        </w:tc>
        <w:tc>
          <w:tcPr>
            <w:tcW w:w="2350" w:type="dxa"/>
            <w:vAlign w:val="center"/>
          </w:tcPr>
          <w:p w14:paraId="42F27310">
            <w:pPr>
              <w:spacing w:line="560" w:lineRule="exact"/>
              <w:jc w:val="center"/>
              <w:rPr>
                <w:rFonts w:ascii="宋体" w:hAnsi="宋体"/>
                <w:color w:val="000000"/>
                <w:sz w:val="24"/>
              </w:rPr>
            </w:pPr>
          </w:p>
        </w:tc>
      </w:tr>
      <w:tr w14:paraId="04CF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96" w:type="dxa"/>
            <w:vAlign w:val="center"/>
          </w:tcPr>
          <w:p w14:paraId="7AD55D20">
            <w:pPr>
              <w:spacing w:line="560" w:lineRule="exact"/>
              <w:jc w:val="center"/>
              <w:rPr>
                <w:rFonts w:ascii="宋体" w:hAnsi="宋体"/>
                <w:color w:val="000000"/>
                <w:sz w:val="24"/>
              </w:rPr>
            </w:pPr>
          </w:p>
        </w:tc>
        <w:tc>
          <w:tcPr>
            <w:tcW w:w="1756" w:type="dxa"/>
            <w:vAlign w:val="center"/>
          </w:tcPr>
          <w:p w14:paraId="5D7BC050">
            <w:pPr>
              <w:spacing w:line="560" w:lineRule="exact"/>
              <w:jc w:val="center"/>
              <w:rPr>
                <w:rFonts w:ascii="宋体" w:hAnsi="宋体"/>
                <w:color w:val="000000"/>
                <w:sz w:val="24"/>
              </w:rPr>
            </w:pPr>
          </w:p>
        </w:tc>
        <w:tc>
          <w:tcPr>
            <w:tcW w:w="1417" w:type="dxa"/>
            <w:vAlign w:val="center"/>
          </w:tcPr>
          <w:p w14:paraId="20D281BC">
            <w:pPr>
              <w:spacing w:line="560" w:lineRule="exact"/>
              <w:jc w:val="center"/>
              <w:rPr>
                <w:rFonts w:ascii="宋体" w:hAnsi="宋体"/>
                <w:color w:val="000000"/>
                <w:sz w:val="24"/>
              </w:rPr>
            </w:pPr>
          </w:p>
        </w:tc>
        <w:tc>
          <w:tcPr>
            <w:tcW w:w="993" w:type="dxa"/>
            <w:vAlign w:val="center"/>
          </w:tcPr>
          <w:p w14:paraId="48CD5B93">
            <w:pPr>
              <w:spacing w:line="560" w:lineRule="exact"/>
              <w:jc w:val="center"/>
              <w:rPr>
                <w:rFonts w:ascii="宋体" w:hAnsi="宋体"/>
                <w:color w:val="000000"/>
                <w:sz w:val="24"/>
              </w:rPr>
            </w:pPr>
          </w:p>
        </w:tc>
        <w:tc>
          <w:tcPr>
            <w:tcW w:w="1093" w:type="dxa"/>
            <w:vAlign w:val="center"/>
          </w:tcPr>
          <w:p w14:paraId="76785848">
            <w:pPr>
              <w:spacing w:line="560" w:lineRule="exact"/>
              <w:jc w:val="center"/>
              <w:rPr>
                <w:rFonts w:ascii="宋体" w:hAnsi="宋体"/>
                <w:color w:val="000000"/>
                <w:sz w:val="24"/>
              </w:rPr>
            </w:pPr>
          </w:p>
        </w:tc>
        <w:tc>
          <w:tcPr>
            <w:tcW w:w="2350" w:type="dxa"/>
            <w:vAlign w:val="center"/>
          </w:tcPr>
          <w:p w14:paraId="660C64E9">
            <w:pPr>
              <w:spacing w:line="560" w:lineRule="exact"/>
              <w:jc w:val="center"/>
              <w:rPr>
                <w:rFonts w:ascii="宋体" w:hAnsi="宋体"/>
                <w:color w:val="000000"/>
                <w:sz w:val="24"/>
              </w:rPr>
            </w:pPr>
          </w:p>
        </w:tc>
      </w:tr>
      <w:tr w14:paraId="52D8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96" w:type="dxa"/>
            <w:vAlign w:val="center"/>
          </w:tcPr>
          <w:p w14:paraId="214E5186">
            <w:pPr>
              <w:spacing w:line="560" w:lineRule="exact"/>
              <w:jc w:val="center"/>
              <w:rPr>
                <w:rFonts w:ascii="宋体" w:hAnsi="宋体"/>
                <w:color w:val="000000"/>
                <w:sz w:val="24"/>
              </w:rPr>
            </w:pPr>
          </w:p>
        </w:tc>
        <w:tc>
          <w:tcPr>
            <w:tcW w:w="1756" w:type="dxa"/>
            <w:vAlign w:val="center"/>
          </w:tcPr>
          <w:p w14:paraId="057B5DD2">
            <w:pPr>
              <w:spacing w:line="560" w:lineRule="exact"/>
              <w:jc w:val="center"/>
              <w:rPr>
                <w:rFonts w:ascii="宋体" w:hAnsi="宋体"/>
                <w:color w:val="000000"/>
                <w:sz w:val="24"/>
              </w:rPr>
            </w:pPr>
          </w:p>
        </w:tc>
        <w:tc>
          <w:tcPr>
            <w:tcW w:w="1417" w:type="dxa"/>
            <w:vAlign w:val="center"/>
          </w:tcPr>
          <w:p w14:paraId="0165EAD1">
            <w:pPr>
              <w:spacing w:line="560" w:lineRule="exact"/>
              <w:jc w:val="center"/>
              <w:rPr>
                <w:rFonts w:ascii="宋体" w:hAnsi="宋体"/>
                <w:color w:val="000000"/>
                <w:sz w:val="24"/>
              </w:rPr>
            </w:pPr>
          </w:p>
        </w:tc>
        <w:tc>
          <w:tcPr>
            <w:tcW w:w="993" w:type="dxa"/>
            <w:vAlign w:val="center"/>
          </w:tcPr>
          <w:p w14:paraId="7F31903F">
            <w:pPr>
              <w:spacing w:line="560" w:lineRule="exact"/>
              <w:jc w:val="center"/>
              <w:rPr>
                <w:rFonts w:ascii="宋体" w:hAnsi="宋体"/>
                <w:color w:val="000000"/>
                <w:sz w:val="24"/>
              </w:rPr>
            </w:pPr>
          </w:p>
        </w:tc>
        <w:tc>
          <w:tcPr>
            <w:tcW w:w="1093" w:type="dxa"/>
            <w:vAlign w:val="center"/>
          </w:tcPr>
          <w:p w14:paraId="38B2BD75">
            <w:pPr>
              <w:spacing w:line="560" w:lineRule="exact"/>
              <w:jc w:val="center"/>
              <w:rPr>
                <w:rFonts w:ascii="宋体" w:hAnsi="宋体"/>
                <w:color w:val="000000"/>
                <w:sz w:val="24"/>
              </w:rPr>
            </w:pPr>
          </w:p>
        </w:tc>
        <w:tc>
          <w:tcPr>
            <w:tcW w:w="2350" w:type="dxa"/>
            <w:vAlign w:val="center"/>
          </w:tcPr>
          <w:p w14:paraId="13778AAF">
            <w:pPr>
              <w:spacing w:line="560" w:lineRule="exact"/>
              <w:jc w:val="center"/>
              <w:rPr>
                <w:rFonts w:ascii="宋体" w:hAnsi="宋体"/>
                <w:color w:val="000000"/>
                <w:sz w:val="24"/>
              </w:rPr>
            </w:pPr>
          </w:p>
        </w:tc>
      </w:tr>
      <w:tr w14:paraId="16C5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6155" w:type="dxa"/>
            <w:gridSpan w:val="5"/>
            <w:vAlign w:val="center"/>
          </w:tcPr>
          <w:p w14:paraId="749A331E">
            <w:pPr>
              <w:spacing w:line="560" w:lineRule="exact"/>
              <w:jc w:val="center"/>
              <w:rPr>
                <w:rFonts w:ascii="宋体" w:hAnsi="宋体"/>
                <w:color w:val="000000"/>
                <w:sz w:val="24"/>
              </w:rPr>
            </w:pPr>
            <w:r>
              <w:rPr>
                <w:rFonts w:hint="eastAsia" w:ascii="宋体" w:hAnsi="宋体"/>
                <w:color w:val="000000"/>
                <w:sz w:val="24"/>
              </w:rPr>
              <w:t>总计（元）</w:t>
            </w:r>
          </w:p>
        </w:tc>
        <w:tc>
          <w:tcPr>
            <w:tcW w:w="2350" w:type="dxa"/>
            <w:vAlign w:val="center"/>
          </w:tcPr>
          <w:p w14:paraId="36C39E26">
            <w:pPr>
              <w:spacing w:line="560" w:lineRule="exact"/>
              <w:jc w:val="center"/>
              <w:rPr>
                <w:rFonts w:ascii="宋体" w:hAnsi="宋体"/>
                <w:color w:val="000000"/>
                <w:sz w:val="24"/>
              </w:rPr>
            </w:pPr>
          </w:p>
        </w:tc>
      </w:tr>
    </w:tbl>
    <w:p w14:paraId="1ABF4851">
      <w:pPr>
        <w:spacing w:line="360" w:lineRule="auto"/>
        <w:ind w:firstLine="420"/>
        <w:rPr>
          <w:rFonts w:ascii="Times New Roman" w:hAnsi="Times New Roman" w:eastAsia="宋体" w:cs="Times New Roman"/>
          <w:color w:val="000000"/>
          <w:szCs w:val="24"/>
        </w:rPr>
      </w:pPr>
    </w:p>
    <w:p w14:paraId="69E0EAFA">
      <w:pPr>
        <w:spacing w:line="360" w:lineRule="auto"/>
        <w:ind w:firstLine="42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供应商（盖章）：</w:t>
      </w:r>
    </w:p>
    <w:p w14:paraId="3CBD3C18">
      <w:pPr>
        <w:spacing w:line="360" w:lineRule="auto"/>
        <w:ind w:firstLine="420"/>
        <w:rPr>
          <w:rFonts w:ascii="Times New Roman" w:hAnsi="Times New Roman" w:eastAsia="宋体" w:cs="Times New Roman"/>
          <w:color w:val="000000"/>
          <w:szCs w:val="24"/>
        </w:rPr>
      </w:pPr>
      <w:r>
        <w:rPr>
          <w:rFonts w:hint="eastAsia" w:ascii="Times New Roman" w:hAnsi="Times New Roman" w:eastAsia="宋体" w:cs="Times New Roman"/>
          <w:color w:val="000000"/>
          <w:szCs w:val="24"/>
        </w:rPr>
        <w:t>法定代表人</w:t>
      </w:r>
      <w:r>
        <w:rPr>
          <w:rFonts w:ascii="Times New Roman" w:hAnsi="Times New Roman" w:eastAsia="宋体" w:cs="Times New Roman"/>
          <w:color w:val="000000"/>
          <w:szCs w:val="24"/>
        </w:rPr>
        <w:t>（单位负责人）</w:t>
      </w:r>
      <w:r>
        <w:rPr>
          <w:rFonts w:hint="eastAsia" w:ascii="Times New Roman" w:hAnsi="Times New Roman" w:eastAsia="宋体" w:cs="Times New Roman"/>
          <w:color w:val="000000"/>
          <w:szCs w:val="24"/>
        </w:rPr>
        <w:t>或委托代理人（签字或盖章）：</w:t>
      </w:r>
    </w:p>
    <w:p w14:paraId="41045F87">
      <w:pPr>
        <w:spacing w:line="360" w:lineRule="auto"/>
        <w:ind w:firstLine="420"/>
        <w:rPr>
          <w:rFonts w:ascii="宋体" w:hAnsi="宋体" w:eastAsia="宋体" w:cs="Times New Roman"/>
          <w:color w:val="000000"/>
          <w:szCs w:val="24"/>
        </w:rPr>
      </w:pPr>
      <w:r>
        <w:rPr>
          <w:rFonts w:hint="eastAsia" w:ascii="Times New Roman" w:hAnsi="Times New Roman" w:eastAsia="宋体" w:cs="Times New Roman"/>
          <w:color w:val="000000"/>
          <w:szCs w:val="24"/>
        </w:rPr>
        <w:t>日期：    年     月     日</w:t>
      </w:r>
    </w:p>
    <w:p w14:paraId="16FC76B1">
      <w:pPr>
        <w:spacing w:line="500" w:lineRule="exact"/>
        <w:ind w:firstLine="480"/>
        <w:rPr>
          <w:rFonts w:ascii="宋体" w:hAnsi="宋体" w:eastAsia="宋体" w:cs="Times New Roman"/>
          <w:color w:val="000000"/>
          <w:sz w:val="24"/>
          <w:szCs w:val="24"/>
        </w:rPr>
      </w:pPr>
    </w:p>
    <w:p w14:paraId="49C19E6A"/>
    <w:p w14:paraId="6F265850"/>
    <w:p w14:paraId="73B8D439">
      <w:pPr>
        <w:keepNext/>
        <w:keepLines/>
        <w:spacing w:before="360" w:after="200" w:line="360" w:lineRule="auto"/>
        <w:jc w:val="left"/>
        <w:outlineLvl w:val="1"/>
        <w:rPr>
          <w:rFonts w:ascii="Arial" w:hAnsi="Arial" w:eastAsia="宋体" w:cs="Arial"/>
          <w:i/>
          <w:iCs/>
          <w:sz w:val="36"/>
          <w:u w:val="single"/>
        </w:rPr>
      </w:pPr>
      <w:r>
        <w:rPr>
          <w:rFonts w:hint="eastAsia" w:ascii="Arial" w:hAnsi="Arial" w:eastAsia="宋体" w:cs="Arial"/>
          <w:i/>
          <w:iCs/>
          <w:sz w:val="36"/>
          <w:u w:val="single"/>
        </w:rPr>
        <w:br w:type="column"/>
      </w:r>
      <w:r>
        <w:rPr>
          <w:rFonts w:hint="eastAsia" w:ascii="Arial" w:hAnsi="Arial" w:eastAsia="宋体" w:cs="Arial"/>
          <w:i/>
          <w:iCs/>
          <w:sz w:val="36"/>
          <w:u w:val="single"/>
        </w:rPr>
        <w:t>十五、技术要求响应及偏离表（分包号：**）</w:t>
      </w:r>
    </w:p>
    <w:p w14:paraId="27E2A327">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技术要求响应及偏离表</w:t>
      </w:r>
    </w:p>
    <w:p w14:paraId="64857640">
      <w:pPr>
        <w:spacing w:line="360" w:lineRule="auto"/>
        <w:jc w:val="left"/>
        <w:rPr>
          <w:rFonts w:ascii="Arial" w:hAnsi="Arial" w:eastAsia="宋体" w:cs="Arial"/>
          <w:sz w:val="36"/>
        </w:rPr>
      </w:pPr>
      <w:r>
        <w:rPr>
          <w:rFonts w:hint="eastAsia" w:ascii="宋体" w:hAnsi="宋体" w:eastAsia="宋体" w:cs="方正仿宋_GBK"/>
          <w:color w:val="000000"/>
          <w:sz w:val="24"/>
          <w:szCs w:val="24"/>
        </w:rPr>
        <w:t>项目名称：      项目编号：      分包号：</w:t>
      </w:r>
      <w:r>
        <w:rPr>
          <w:rFonts w:ascii="宋体" w:hAnsi="宋体" w:eastAsia="宋体" w:cs="Times New Roman"/>
          <w:bCs/>
          <w:color w:val="000000"/>
          <w:sz w:val="24"/>
          <w:szCs w:val="24"/>
        </w:rPr>
        <w:t xml:space="preserve"> </w:t>
      </w:r>
    </w:p>
    <w:tbl>
      <w:tblPr>
        <w:tblStyle w:val="43"/>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9"/>
        <w:gridCol w:w="3273"/>
        <w:gridCol w:w="3024"/>
        <w:gridCol w:w="1399"/>
      </w:tblGrid>
      <w:tr w14:paraId="27825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9" w:type="dxa"/>
            <w:vAlign w:val="center"/>
          </w:tcPr>
          <w:p w14:paraId="19139ABD">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序号</w:t>
            </w:r>
          </w:p>
        </w:tc>
        <w:tc>
          <w:tcPr>
            <w:tcW w:w="3273" w:type="dxa"/>
            <w:vAlign w:val="center"/>
          </w:tcPr>
          <w:p w14:paraId="3C1F902F">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磋商文件要求</w:t>
            </w:r>
          </w:p>
        </w:tc>
        <w:tc>
          <w:tcPr>
            <w:tcW w:w="3024" w:type="dxa"/>
            <w:vAlign w:val="center"/>
          </w:tcPr>
          <w:p w14:paraId="43FDF53E">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响应情况</w:t>
            </w:r>
          </w:p>
        </w:tc>
        <w:tc>
          <w:tcPr>
            <w:tcW w:w="1399" w:type="dxa"/>
            <w:vAlign w:val="center"/>
          </w:tcPr>
          <w:p w14:paraId="3E485F37">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超出、符合或偏离</w:t>
            </w:r>
          </w:p>
        </w:tc>
      </w:tr>
      <w:tr w14:paraId="6BD48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49B1BC27">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3273" w:type="dxa"/>
            <w:vAlign w:val="center"/>
          </w:tcPr>
          <w:p w14:paraId="01D6B0C5">
            <w:pPr>
              <w:jc w:val="center"/>
              <w:rPr>
                <w:rFonts w:ascii="宋体" w:hAnsi="宋体" w:eastAsia="宋体" w:cs="Times New Roman"/>
                <w:color w:val="000000"/>
                <w:sz w:val="24"/>
                <w:szCs w:val="24"/>
              </w:rPr>
            </w:pPr>
          </w:p>
        </w:tc>
        <w:tc>
          <w:tcPr>
            <w:tcW w:w="3024" w:type="dxa"/>
            <w:vAlign w:val="center"/>
          </w:tcPr>
          <w:p w14:paraId="4375E40C">
            <w:pPr>
              <w:jc w:val="center"/>
              <w:rPr>
                <w:rFonts w:ascii="宋体" w:hAnsi="宋体" w:eastAsia="宋体" w:cs="Times New Roman"/>
                <w:color w:val="000000"/>
                <w:sz w:val="24"/>
                <w:szCs w:val="24"/>
              </w:rPr>
            </w:pPr>
          </w:p>
        </w:tc>
        <w:tc>
          <w:tcPr>
            <w:tcW w:w="1399" w:type="dxa"/>
            <w:vAlign w:val="center"/>
          </w:tcPr>
          <w:p w14:paraId="7A074504">
            <w:pPr>
              <w:jc w:val="center"/>
              <w:rPr>
                <w:rFonts w:ascii="宋体" w:hAnsi="宋体" w:eastAsia="宋体" w:cs="Times New Roman"/>
                <w:color w:val="000000"/>
                <w:sz w:val="24"/>
                <w:szCs w:val="24"/>
              </w:rPr>
            </w:pPr>
          </w:p>
        </w:tc>
      </w:tr>
      <w:tr w14:paraId="48457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19E7A5F2">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3273" w:type="dxa"/>
            <w:vAlign w:val="center"/>
          </w:tcPr>
          <w:p w14:paraId="58D621DF">
            <w:pPr>
              <w:jc w:val="center"/>
              <w:rPr>
                <w:rFonts w:ascii="宋体" w:hAnsi="宋体" w:eastAsia="宋体" w:cs="Times New Roman"/>
                <w:color w:val="000000"/>
                <w:sz w:val="24"/>
                <w:szCs w:val="24"/>
              </w:rPr>
            </w:pPr>
          </w:p>
        </w:tc>
        <w:tc>
          <w:tcPr>
            <w:tcW w:w="3024" w:type="dxa"/>
            <w:vAlign w:val="center"/>
          </w:tcPr>
          <w:p w14:paraId="11FD0660">
            <w:pPr>
              <w:jc w:val="center"/>
              <w:rPr>
                <w:rFonts w:ascii="宋体" w:hAnsi="宋体" w:eastAsia="宋体" w:cs="Times New Roman"/>
                <w:color w:val="000000"/>
                <w:sz w:val="24"/>
                <w:szCs w:val="24"/>
              </w:rPr>
            </w:pPr>
          </w:p>
        </w:tc>
        <w:tc>
          <w:tcPr>
            <w:tcW w:w="1399" w:type="dxa"/>
            <w:vAlign w:val="center"/>
          </w:tcPr>
          <w:p w14:paraId="02C9840A">
            <w:pPr>
              <w:jc w:val="center"/>
              <w:rPr>
                <w:rFonts w:ascii="宋体" w:hAnsi="宋体" w:eastAsia="宋体" w:cs="Times New Roman"/>
                <w:color w:val="000000"/>
                <w:sz w:val="24"/>
                <w:szCs w:val="24"/>
              </w:rPr>
            </w:pPr>
          </w:p>
        </w:tc>
      </w:tr>
      <w:tr w14:paraId="1B9DE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217BA0C7">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3273" w:type="dxa"/>
            <w:vAlign w:val="center"/>
          </w:tcPr>
          <w:p w14:paraId="4BCFA0C1">
            <w:pPr>
              <w:jc w:val="center"/>
              <w:rPr>
                <w:rFonts w:ascii="宋体" w:hAnsi="宋体" w:eastAsia="宋体" w:cs="Times New Roman"/>
                <w:color w:val="000000"/>
                <w:sz w:val="24"/>
                <w:szCs w:val="24"/>
              </w:rPr>
            </w:pPr>
          </w:p>
        </w:tc>
        <w:tc>
          <w:tcPr>
            <w:tcW w:w="3024" w:type="dxa"/>
            <w:vAlign w:val="center"/>
          </w:tcPr>
          <w:p w14:paraId="1B5650A5">
            <w:pPr>
              <w:jc w:val="center"/>
              <w:rPr>
                <w:rFonts w:ascii="宋体" w:hAnsi="宋体" w:eastAsia="宋体" w:cs="Times New Roman"/>
                <w:color w:val="000000"/>
                <w:sz w:val="24"/>
                <w:szCs w:val="24"/>
              </w:rPr>
            </w:pPr>
          </w:p>
        </w:tc>
        <w:tc>
          <w:tcPr>
            <w:tcW w:w="1399" w:type="dxa"/>
            <w:vAlign w:val="center"/>
          </w:tcPr>
          <w:p w14:paraId="46CD5CBF">
            <w:pPr>
              <w:jc w:val="center"/>
              <w:rPr>
                <w:rFonts w:ascii="宋体" w:hAnsi="宋体" w:eastAsia="宋体" w:cs="Times New Roman"/>
                <w:color w:val="000000"/>
                <w:sz w:val="24"/>
                <w:szCs w:val="24"/>
              </w:rPr>
            </w:pPr>
          </w:p>
        </w:tc>
      </w:tr>
      <w:tr w14:paraId="1BFFE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289F1080">
            <w:pPr>
              <w:jc w:val="center"/>
              <w:rPr>
                <w:rFonts w:ascii="宋体" w:hAnsi="宋体" w:eastAsia="宋体" w:cs="Times New Roman"/>
                <w:color w:val="000000"/>
                <w:sz w:val="24"/>
                <w:szCs w:val="24"/>
              </w:rPr>
            </w:pPr>
            <w:r>
              <w:rPr>
                <w:rFonts w:ascii="宋体" w:hAnsi="宋体" w:eastAsia="宋体" w:cs="Times New Roman"/>
                <w:color w:val="000000"/>
                <w:sz w:val="24"/>
                <w:szCs w:val="24"/>
              </w:rPr>
              <w:t>…</w:t>
            </w:r>
          </w:p>
        </w:tc>
        <w:tc>
          <w:tcPr>
            <w:tcW w:w="3273" w:type="dxa"/>
            <w:vAlign w:val="center"/>
          </w:tcPr>
          <w:p w14:paraId="14645A1F">
            <w:pPr>
              <w:jc w:val="center"/>
              <w:rPr>
                <w:rFonts w:ascii="宋体" w:hAnsi="宋体" w:eastAsia="宋体" w:cs="Times New Roman"/>
                <w:color w:val="000000"/>
                <w:sz w:val="24"/>
                <w:szCs w:val="24"/>
              </w:rPr>
            </w:pPr>
          </w:p>
        </w:tc>
        <w:tc>
          <w:tcPr>
            <w:tcW w:w="3024" w:type="dxa"/>
            <w:vAlign w:val="center"/>
          </w:tcPr>
          <w:p w14:paraId="2FAAA3B2">
            <w:pPr>
              <w:jc w:val="center"/>
              <w:rPr>
                <w:rFonts w:ascii="宋体" w:hAnsi="宋体" w:eastAsia="宋体" w:cs="Times New Roman"/>
                <w:color w:val="000000"/>
                <w:sz w:val="24"/>
                <w:szCs w:val="24"/>
              </w:rPr>
            </w:pPr>
          </w:p>
        </w:tc>
        <w:tc>
          <w:tcPr>
            <w:tcW w:w="1399" w:type="dxa"/>
            <w:vAlign w:val="center"/>
          </w:tcPr>
          <w:p w14:paraId="70DE8978">
            <w:pPr>
              <w:jc w:val="center"/>
              <w:rPr>
                <w:rFonts w:ascii="宋体" w:hAnsi="宋体" w:eastAsia="宋体" w:cs="Times New Roman"/>
                <w:color w:val="000000"/>
                <w:sz w:val="24"/>
                <w:szCs w:val="24"/>
              </w:rPr>
            </w:pPr>
          </w:p>
        </w:tc>
      </w:tr>
    </w:tbl>
    <w:p w14:paraId="62968600">
      <w:pPr>
        <w:spacing w:line="500" w:lineRule="exact"/>
        <w:ind w:firstLine="480"/>
        <w:rPr>
          <w:rFonts w:ascii="宋体" w:hAnsi="宋体" w:eastAsia="宋体" w:cs="Times New Roman"/>
          <w:color w:val="000000"/>
          <w:sz w:val="24"/>
          <w:szCs w:val="24"/>
        </w:rPr>
      </w:pPr>
    </w:p>
    <w:p w14:paraId="7348165B">
      <w:pPr>
        <w:spacing w:line="500" w:lineRule="exact"/>
        <w:ind w:firstLine="480"/>
        <w:rPr>
          <w:rFonts w:ascii="宋体" w:hAnsi="宋体" w:eastAsia="宋体" w:cs="Times New Roman"/>
          <w:color w:val="000000"/>
          <w:sz w:val="24"/>
          <w:szCs w:val="24"/>
        </w:rPr>
      </w:pPr>
    </w:p>
    <w:p w14:paraId="08652BDC">
      <w:pPr>
        <w:spacing w:line="360" w:lineRule="auto"/>
        <w:ind w:firstLine="48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供应商（盖章）：</w:t>
      </w:r>
    </w:p>
    <w:p w14:paraId="37818817">
      <w:pPr>
        <w:spacing w:line="360" w:lineRule="auto"/>
        <w:ind w:firstLine="48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法定代表人</w:t>
      </w:r>
      <w:r>
        <w:rPr>
          <w:rFonts w:ascii="Calibri" w:hAnsi="Calibri" w:eastAsia="宋体" w:cs="Times New Roman"/>
          <w:sz w:val="24"/>
          <w:szCs w:val="24"/>
        </w:rPr>
        <w:t>（单位负责人）</w:t>
      </w:r>
      <w:r>
        <w:rPr>
          <w:rFonts w:hint="eastAsia" w:ascii="Times New Roman" w:hAnsi="Times New Roman" w:eastAsia="宋体" w:cs="Times New Roman"/>
          <w:color w:val="000000"/>
          <w:sz w:val="24"/>
          <w:szCs w:val="24"/>
        </w:rPr>
        <w:t>或委托代理人（签字或盖章）：</w:t>
      </w:r>
    </w:p>
    <w:p w14:paraId="56EF9820">
      <w:pPr>
        <w:spacing w:line="500" w:lineRule="exact"/>
        <w:ind w:firstLine="48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日期：    年     月     日</w:t>
      </w:r>
    </w:p>
    <w:p w14:paraId="172AD4BA"/>
    <w:p w14:paraId="6B0EAEE7"/>
    <w:p w14:paraId="6520DD1B">
      <w:pPr>
        <w:keepNext/>
        <w:keepLines/>
        <w:spacing w:before="360" w:after="200" w:line="360" w:lineRule="auto"/>
        <w:jc w:val="left"/>
        <w:outlineLvl w:val="1"/>
        <w:rPr>
          <w:rFonts w:ascii="Arial" w:hAnsi="Arial" w:eastAsia="宋体" w:cs="Arial"/>
          <w:i/>
          <w:iCs/>
          <w:sz w:val="36"/>
          <w:u w:val="single"/>
        </w:rPr>
      </w:pPr>
      <w:bookmarkStart w:id="14" w:name="_Hlt26955054"/>
      <w:bookmarkEnd w:id="14"/>
      <w:r>
        <w:rPr>
          <w:rFonts w:hint="eastAsia" w:ascii="Arial" w:hAnsi="Arial" w:eastAsia="宋体" w:cs="Arial"/>
          <w:i/>
          <w:iCs/>
          <w:sz w:val="36"/>
          <w:u w:val="single"/>
        </w:rPr>
        <w:t>十六、商务要求响应及偏离表（分包号：**）</w:t>
      </w:r>
    </w:p>
    <w:p w14:paraId="68D859F2">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商务要求响应及偏离表</w:t>
      </w:r>
    </w:p>
    <w:p w14:paraId="7DF8DD62">
      <w:pPr>
        <w:spacing w:line="360" w:lineRule="auto"/>
        <w:jc w:val="left"/>
      </w:pPr>
      <w:r>
        <w:rPr>
          <w:rFonts w:hint="eastAsia" w:ascii="宋体" w:hAnsi="宋体" w:eastAsia="宋体" w:cs="方正仿宋_GBK"/>
          <w:color w:val="000000"/>
          <w:sz w:val="24"/>
          <w:szCs w:val="24"/>
        </w:rPr>
        <w:t>项目名称：      项目编号：      分包号：</w:t>
      </w:r>
      <w:r>
        <w:rPr>
          <w:rFonts w:ascii="宋体" w:hAnsi="宋体" w:eastAsia="宋体" w:cs="Times New Roman"/>
          <w:bCs/>
          <w:color w:val="000000"/>
          <w:sz w:val="24"/>
          <w:szCs w:val="24"/>
        </w:rPr>
        <w:t xml:space="preserve"> </w:t>
      </w:r>
    </w:p>
    <w:tbl>
      <w:tblPr>
        <w:tblStyle w:val="43"/>
        <w:tblW w:w="85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3"/>
        <w:gridCol w:w="3034"/>
        <w:gridCol w:w="1391"/>
      </w:tblGrid>
      <w:tr w14:paraId="5DD1E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17" w:type="dxa"/>
            <w:vAlign w:val="center"/>
          </w:tcPr>
          <w:p w14:paraId="482A8B46">
            <w:pPr>
              <w:jc w:val="center"/>
              <w:rPr>
                <w:rFonts w:ascii="宋体" w:hAnsi="宋体" w:eastAsia="宋体" w:cs="Times New Roman"/>
                <w:color w:val="000000"/>
                <w:sz w:val="24"/>
                <w:szCs w:val="24"/>
              </w:rPr>
            </w:pPr>
            <w:bookmarkStart w:id="15" w:name="_Hlt24879081"/>
            <w:bookmarkEnd w:id="15"/>
            <w:bookmarkStart w:id="16" w:name="_Hlt26609391"/>
            <w:bookmarkEnd w:id="16"/>
            <w:bookmarkStart w:id="17" w:name="_Hlt26671372"/>
            <w:bookmarkEnd w:id="17"/>
            <w:bookmarkStart w:id="18" w:name="_Hlt26782999"/>
            <w:bookmarkEnd w:id="18"/>
            <w:bookmarkStart w:id="19" w:name="_Hlt26955064"/>
            <w:bookmarkEnd w:id="19"/>
            <w:bookmarkStart w:id="20" w:name="_Hlt26671343"/>
            <w:bookmarkEnd w:id="20"/>
            <w:bookmarkStart w:id="21" w:name="_Hlt26955056"/>
            <w:bookmarkEnd w:id="21"/>
            <w:bookmarkStart w:id="22" w:name="_Hlt26580838"/>
            <w:bookmarkEnd w:id="22"/>
            <w:r>
              <w:rPr>
                <w:rFonts w:hint="eastAsia" w:ascii="宋体" w:hAnsi="宋体" w:eastAsia="宋体" w:cs="Times New Roman"/>
                <w:color w:val="000000"/>
                <w:sz w:val="24"/>
                <w:szCs w:val="24"/>
              </w:rPr>
              <w:t>序号</w:t>
            </w:r>
          </w:p>
        </w:tc>
        <w:tc>
          <w:tcPr>
            <w:tcW w:w="3263" w:type="dxa"/>
            <w:vAlign w:val="center"/>
          </w:tcPr>
          <w:p w14:paraId="56D78189">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磋商文件要求</w:t>
            </w:r>
          </w:p>
        </w:tc>
        <w:tc>
          <w:tcPr>
            <w:tcW w:w="3034" w:type="dxa"/>
            <w:vAlign w:val="center"/>
          </w:tcPr>
          <w:p w14:paraId="5EB44CAE">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响应情况</w:t>
            </w:r>
          </w:p>
        </w:tc>
        <w:tc>
          <w:tcPr>
            <w:tcW w:w="1391" w:type="dxa"/>
            <w:vAlign w:val="center"/>
          </w:tcPr>
          <w:p w14:paraId="7A8AAE82">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超出、符合或偏离</w:t>
            </w:r>
          </w:p>
        </w:tc>
      </w:tr>
      <w:tr w14:paraId="64ADC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189B1727">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3263" w:type="dxa"/>
            <w:vAlign w:val="center"/>
          </w:tcPr>
          <w:p w14:paraId="492D594E">
            <w:pPr>
              <w:jc w:val="center"/>
              <w:rPr>
                <w:rFonts w:ascii="宋体" w:hAnsi="宋体" w:eastAsia="宋体" w:cs="Times New Roman"/>
                <w:color w:val="000000"/>
                <w:sz w:val="24"/>
                <w:szCs w:val="24"/>
              </w:rPr>
            </w:pPr>
          </w:p>
        </w:tc>
        <w:tc>
          <w:tcPr>
            <w:tcW w:w="3034" w:type="dxa"/>
            <w:vAlign w:val="center"/>
          </w:tcPr>
          <w:p w14:paraId="17617D81">
            <w:pPr>
              <w:jc w:val="center"/>
              <w:rPr>
                <w:rFonts w:ascii="宋体" w:hAnsi="宋体" w:eastAsia="宋体" w:cs="Times New Roman"/>
                <w:color w:val="000000"/>
                <w:sz w:val="24"/>
                <w:szCs w:val="24"/>
              </w:rPr>
            </w:pPr>
          </w:p>
        </w:tc>
        <w:tc>
          <w:tcPr>
            <w:tcW w:w="1391" w:type="dxa"/>
            <w:vAlign w:val="center"/>
          </w:tcPr>
          <w:p w14:paraId="1D28CC87">
            <w:pPr>
              <w:jc w:val="center"/>
              <w:rPr>
                <w:rFonts w:ascii="宋体" w:hAnsi="宋体" w:eastAsia="宋体" w:cs="Times New Roman"/>
                <w:color w:val="000000"/>
                <w:sz w:val="24"/>
                <w:szCs w:val="24"/>
              </w:rPr>
            </w:pPr>
          </w:p>
        </w:tc>
      </w:tr>
      <w:tr w14:paraId="36569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29DC8AE3">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3263" w:type="dxa"/>
            <w:vAlign w:val="center"/>
          </w:tcPr>
          <w:p w14:paraId="1E0EF4DC">
            <w:pPr>
              <w:jc w:val="center"/>
              <w:rPr>
                <w:rFonts w:ascii="宋体" w:hAnsi="宋体" w:eastAsia="宋体" w:cs="Times New Roman"/>
                <w:color w:val="000000"/>
                <w:sz w:val="24"/>
                <w:szCs w:val="24"/>
              </w:rPr>
            </w:pPr>
          </w:p>
        </w:tc>
        <w:tc>
          <w:tcPr>
            <w:tcW w:w="3034" w:type="dxa"/>
            <w:vAlign w:val="center"/>
          </w:tcPr>
          <w:p w14:paraId="48E9B10B">
            <w:pPr>
              <w:jc w:val="center"/>
              <w:rPr>
                <w:rFonts w:ascii="宋体" w:hAnsi="宋体" w:eastAsia="宋体" w:cs="Times New Roman"/>
                <w:color w:val="000000"/>
                <w:sz w:val="24"/>
                <w:szCs w:val="24"/>
              </w:rPr>
            </w:pPr>
          </w:p>
        </w:tc>
        <w:tc>
          <w:tcPr>
            <w:tcW w:w="1391" w:type="dxa"/>
            <w:vAlign w:val="center"/>
          </w:tcPr>
          <w:p w14:paraId="0B9B8864">
            <w:pPr>
              <w:jc w:val="center"/>
              <w:rPr>
                <w:rFonts w:ascii="宋体" w:hAnsi="宋体" w:eastAsia="宋体" w:cs="Times New Roman"/>
                <w:color w:val="000000"/>
                <w:sz w:val="24"/>
                <w:szCs w:val="24"/>
              </w:rPr>
            </w:pPr>
          </w:p>
        </w:tc>
      </w:tr>
      <w:tr w14:paraId="08E12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298C0B7D">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3263" w:type="dxa"/>
            <w:vAlign w:val="center"/>
          </w:tcPr>
          <w:p w14:paraId="69F312A7">
            <w:pPr>
              <w:jc w:val="center"/>
              <w:rPr>
                <w:rFonts w:ascii="宋体" w:hAnsi="宋体" w:eastAsia="宋体" w:cs="Times New Roman"/>
                <w:color w:val="000000"/>
                <w:sz w:val="24"/>
                <w:szCs w:val="24"/>
              </w:rPr>
            </w:pPr>
          </w:p>
        </w:tc>
        <w:tc>
          <w:tcPr>
            <w:tcW w:w="3034" w:type="dxa"/>
            <w:vAlign w:val="center"/>
          </w:tcPr>
          <w:p w14:paraId="0CE44999">
            <w:pPr>
              <w:jc w:val="center"/>
              <w:rPr>
                <w:rFonts w:ascii="宋体" w:hAnsi="宋体" w:eastAsia="宋体" w:cs="Times New Roman"/>
                <w:color w:val="000000"/>
                <w:sz w:val="24"/>
                <w:szCs w:val="24"/>
              </w:rPr>
            </w:pPr>
          </w:p>
        </w:tc>
        <w:tc>
          <w:tcPr>
            <w:tcW w:w="1391" w:type="dxa"/>
            <w:vAlign w:val="center"/>
          </w:tcPr>
          <w:p w14:paraId="573204E4">
            <w:pPr>
              <w:jc w:val="center"/>
              <w:rPr>
                <w:rFonts w:ascii="宋体" w:hAnsi="宋体" w:eastAsia="宋体" w:cs="Times New Roman"/>
                <w:color w:val="000000"/>
                <w:sz w:val="24"/>
                <w:szCs w:val="24"/>
              </w:rPr>
            </w:pPr>
          </w:p>
        </w:tc>
      </w:tr>
      <w:tr w14:paraId="01CA0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3CF681BD">
            <w:pPr>
              <w:jc w:val="center"/>
              <w:rPr>
                <w:rFonts w:ascii="宋体" w:hAnsi="宋体" w:eastAsia="宋体" w:cs="Times New Roman"/>
                <w:color w:val="000000"/>
                <w:sz w:val="24"/>
                <w:szCs w:val="24"/>
              </w:rPr>
            </w:pPr>
            <w:r>
              <w:rPr>
                <w:rFonts w:ascii="宋体" w:hAnsi="宋体" w:eastAsia="宋体" w:cs="Times New Roman"/>
                <w:color w:val="000000"/>
                <w:sz w:val="24"/>
                <w:szCs w:val="24"/>
              </w:rPr>
              <w:t>…</w:t>
            </w:r>
          </w:p>
        </w:tc>
        <w:tc>
          <w:tcPr>
            <w:tcW w:w="3263" w:type="dxa"/>
            <w:vAlign w:val="center"/>
          </w:tcPr>
          <w:p w14:paraId="205AAAA1">
            <w:pPr>
              <w:jc w:val="center"/>
              <w:rPr>
                <w:rFonts w:ascii="宋体" w:hAnsi="宋体" w:eastAsia="宋体" w:cs="Times New Roman"/>
                <w:color w:val="000000"/>
                <w:sz w:val="24"/>
                <w:szCs w:val="24"/>
              </w:rPr>
            </w:pPr>
          </w:p>
        </w:tc>
        <w:tc>
          <w:tcPr>
            <w:tcW w:w="3034" w:type="dxa"/>
            <w:vAlign w:val="center"/>
          </w:tcPr>
          <w:p w14:paraId="77D2D81E">
            <w:pPr>
              <w:jc w:val="center"/>
              <w:rPr>
                <w:rFonts w:ascii="宋体" w:hAnsi="宋体" w:eastAsia="宋体" w:cs="Times New Roman"/>
                <w:color w:val="000000"/>
                <w:sz w:val="24"/>
                <w:szCs w:val="24"/>
              </w:rPr>
            </w:pPr>
          </w:p>
        </w:tc>
        <w:tc>
          <w:tcPr>
            <w:tcW w:w="1391" w:type="dxa"/>
            <w:vAlign w:val="center"/>
          </w:tcPr>
          <w:p w14:paraId="07F00CC3">
            <w:pPr>
              <w:jc w:val="center"/>
              <w:rPr>
                <w:rFonts w:ascii="宋体" w:hAnsi="宋体" w:eastAsia="宋体" w:cs="Times New Roman"/>
                <w:color w:val="000000"/>
                <w:sz w:val="24"/>
                <w:szCs w:val="24"/>
              </w:rPr>
            </w:pPr>
          </w:p>
        </w:tc>
      </w:tr>
    </w:tbl>
    <w:p w14:paraId="3CAE9AB3">
      <w:pPr>
        <w:spacing w:line="500" w:lineRule="exact"/>
        <w:ind w:firstLine="480"/>
        <w:rPr>
          <w:rFonts w:ascii="宋体" w:hAnsi="宋体" w:eastAsia="宋体" w:cs="Times New Roman"/>
          <w:color w:val="000000"/>
          <w:sz w:val="24"/>
          <w:szCs w:val="24"/>
        </w:rPr>
      </w:pPr>
    </w:p>
    <w:p w14:paraId="116019C1">
      <w:pPr>
        <w:spacing w:line="500" w:lineRule="exact"/>
        <w:ind w:firstLine="480"/>
        <w:rPr>
          <w:rFonts w:ascii="宋体" w:hAnsi="宋体" w:eastAsia="宋体" w:cs="Times New Roman"/>
          <w:color w:val="000000"/>
          <w:sz w:val="24"/>
          <w:szCs w:val="24"/>
        </w:rPr>
      </w:pPr>
    </w:p>
    <w:p w14:paraId="05A9F167">
      <w:pPr>
        <w:spacing w:line="360" w:lineRule="auto"/>
        <w:ind w:firstLine="48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供应商（盖章）：</w:t>
      </w:r>
    </w:p>
    <w:p w14:paraId="563AE71A">
      <w:pPr>
        <w:spacing w:line="360" w:lineRule="auto"/>
        <w:ind w:firstLine="48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法定代表人</w:t>
      </w:r>
      <w:r>
        <w:rPr>
          <w:rFonts w:ascii="Calibri" w:hAnsi="Calibri" w:eastAsia="宋体" w:cs="Times New Roman"/>
          <w:sz w:val="24"/>
          <w:szCs w:val="24"/>
        </w:rPr>
        <w:t>（单位负责人）</w:t>
      </w:r>
      <w:r>
        <w:rPr>
          <w:rFonts w:hint="eastAsia" w:ascii="Times New Roman" w:hAnsi="Times New Roman" w:eastAsia="宋体" w:cs="Times New Roman"/>
          <w:color w:val="000000"/>
          <w:sz w:val="24"/>
          <w:szCs w:val="24"/>
        </w:rPr>
        <w:t>或委托代理人（签字或盖章）：</w:t>
      </w:r>
    </w:p>
    <w:p w14:paraId="53A34135">
      <w:pPr>
        <w:spacing w:line="500" w:lineRule="exact"/>
        <w:ind w:firstLine="48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日期：    年     月     日</w:t>
      </w:r>
    </w:p>
    <w:p w14:paraId="7C9FBC86">
      <w:pPr>
        <w:spacing w:line="500" w:lineRule="exact"/>
        <w:rPr>
          <w:rFonts w:ascii="Times New Roman" w:hAnsi="Times New Roman" w:eastAsia="宋体" w:cs="Times New Roman"/>
          <w:color w:val="000000"/>
          <w:sz w:val="24"/>
          <w:szCs w:val="24"/>
        </w:rPr>
      </w:pPr>
    </w:p>
    <w:p w14:paraId="4359FA9D"/>
    <w:p w14:paraId="0203F0A7">
      <w:pPr>
        <w:keepNext/>
        <w:keepLines/>
        <w:spacing w:before="360" w:after="200" w:line="360" w:lineRule="auto"/>
        <w:jc w:val="left"/>
        <w:outlineLvl w:val="1"/>
        <w:rPr>
          <w:rFonts w:ascii="Arial" w:hAnsi="Arial" w:eastAsia="宋体" w:cs="Arial"/>
          <w:iCs/>
          <w:sz w:val="36"/>
        </w:rPr>
      </w:pPr>
      <w:r>
        <w:rPr>
          <w:rFonts w:hint="eastAsia" w:ascii="Arial" w:hAnsi="Arial" w:eastAsia="宋体" w:cs="Arial"/>
          <w:iCs/>
          <w:sz w:val="36"/>
        </w:rPr>
        <w:br w:type="column"/>
      </w:r>
      <w:r>
        <w:rPr>
          <w:rFonts w:hint="eastAsia" w:ascii="Arial" w:hAnsi="Arial" w:eastAsia="宋体" w:cs="Arial"/>
          <w:iCs/>
          <w:sz w:val="36"/>
        </w:rPr>
        <w:t>十七、类似项目业绩一览表（分包号：**）</w:t>
      </w:r>
    </w:p>
    <w:p w14:paraId="2FBD5D24">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类似项目业绩一览表</w:t>
      </w:r>
    </w:p>
    <w:p w14:paraId="6EE94C07">
      <w:pPr>
        <w:spacing w:line="360" w:lineRule="auto"/>
        <w:jc w:val="left"/>
      </w:pPr>
      <w:r>
        <w:rPr>
          <w:rFonts w:hint="eastAsia" w:ascii="宋体" w:hAnsi="宋体" w:eastAsia="宋体" w:cs="方正仿宋_GBK"/>
          <w:color w:val="000000"/>
          <w:sz w:val="24"/>
          <w:szCs w:val="24"/>
        </w:rPr>
        <w:t>项目名称：      项目编号：      分包号：</w:t>
      </w:r>
      <w:r>
        <w:rPr>
          <w:rFonts w:ascii="宋体" w:hAnsi="宋体" w:eastAsia="宋体" w:cs="Times New Roman"/>
          <w:bCs/>
          <w:color w:val="000000"/>
          <w:sz w:val="24"/>
          <w:szCs w:val="24"/>
        </w:rPr>
        <w:t xml:space="preserve"> </w:t>
      </w:r>
    </w:p>
    <w:tbl>
      <w:tblPr>
        <w:tblStyle w:val="43"/>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86"/>
        <w:gridCol w:w="1850"/>
        <w:gridCol w:w="1985"/>
        <w:gridCol w:w="1309"/>
      </w:tblGrid>
      <w:tr w14:paraId="3F44A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675" w:type="dxa"/>
            <w:vAlign w:val="center"/>
          </w:tcPr>
          <w:p w14:paraId="7C0CD953">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序号</w:t>
            </w:r>
          </w:p>
        </w:tc>
        <w:tc>
          <w:tcPr>
            <w:tcW w:w="2686" w:type="dxa"/>
            <w:vAlign w:val="center"/>
          </w:tcPr>
          <w:p w14:paraId="6120B13B">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p>
        </w:tc>
        <w:tc>
          <w:tcPr>
            <w:tcW w:w="1850" w:type="dxa"/>
            <w:vAlign w:val="center"/>
          </w:tcPr>
          <w:p w14:paraId="1DD35E6E">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签订时间</w:t>
            </w:r>
          </w:p>
        </w:tc>
        <w:tc>
          <w:tcPr>
            <w:tcW w:w="1985" w:type="dxa"/>
            <w:vAlign w:val="center"/>
          </w:tcPr>
          <w:p w14:paraId="7670F7FA">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采购单位</w:t>
            </w:r>
          </w:p>
        </w:tc>
        <w:tc>
          <w:tcPr>
            <w:tcW w:w="1309" w:type="dxa"/>
            <w:vAlign w:val="center"/>
          </w:tcPr>
          <w:p w14:paraId="31C59DB5">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主要标的</w:t>
            </w:r>
          </w:p>
        </w:tc>
      </w:tr>
      <w:tr w14:paraId="4A029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vAlign w:val="center"/>
          </w:tcPr>
          <w:p w14:paraId="518F055F">
            <w:pPr>
              <w:jc w:val="center"/>
              <w:rPr>
                <w:rFonts w:ascii="宋体" w:hAnsi="宋体" w:eastAsia="宋体" w:cs="Times New Roman"/>
                <w:color w:val="000000"/>
                <w:sz w:val="24"/>
                <w:szCs w:val="24"/>
              </w:rPr>
            </w:pPr>
          </w:p>
        </w:tc>
        <w:tc>
          <w:tcPr>
            <w:tcW w:w="2686" w:type="dxa"/>
            <w:vAlign w:val="center"/>
          </w:tcPr>
          <w:p w14:paraId="203C0C08">
            <w:pPr>
              <w:jc w:val="center"/>
              <w:rPr>
                <w:rFonts w:ascii="宋体" w:hAnsi="宋体" w:eastAsia="宋体" w:cs="Times New Roman"/>
                <w:color w:val="000000"/>
                <w:sz w:val="24"/>
                <w:szCs w:val="24"/>
              </w:rPr>
            </w:pPr>
          </w:p>
        </w:tc>
        <w:tc>
          <w:tcPr>
            <w:tcW w:w="1850" w:type="dxa"/>
          </w:tcPr>
          <w:p w14:paraId="7D9220B8">
            <w:pPr>
              <w:jc w:val="center"/>
              <w:rPr>
                <w:rFonts w:ascii="宋体" w:hAnsi="宋体" w:eastAsia="宋体" w:cs="Times New Roman"/>
                <w:color w:val="000000"/>
                <w:sz w:val="24"/>
                <w:szCs w:val="24"/>
              </w:rPr>
            </w:pPr>
          </w:p>
        </w:tc>
        <w:tc>
          <w:tcPr>
            <w:tcW w:w="1985" w:type="dxa"/>
            <w:vAlign w:val="center"/>
          </w:tcPr>
          <w:p w14:paraId="24FC6D47">
            <w:pPr>
              <w:jc w:val="center"/>
              <w:rPr>
                <w:rFonts w:ascii="宋体" w:hAnsi="宋体" w:eastAsia="宋体" w:cs="Times New Roman"/>
                <w:color w:val="000000"/>
                <w:sz w:val="24"/>
                <w:szCs w:val="24"/>
              </w:rPr>
            </w:pPr>
          </w:p>
        </w:tc>
        <w:tc>
          <w:tcPr>
            <w:tcW w:w="1309" w:type="dxa"/>
            <w:vAlign w:val="center"/>
          </w:tcPr>
          <w:p w14:paraId="58362C43">
            <w:pPr>
              <w:jc w:val="center"/>
              <w:rPr>
                <w:rFonts w:ascii="宋体" w:hAnsi="宋体" w:eastAsia="宋体" w:cs="Times New Roman"/>
                <w:color w:val="000000"/>
                <w:sz w:val="24"/>
                <w:szCs w:val="24"/>
              </w:rPr>
            </w:pPr>
          </w:p>
        </w:tc>
      </w:tr>
      <w:tr w14:paraId="22606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vAlign w:val="center"/>
          </w:tcPr>
          <w:p w14:paraId="6D6CA3D7">
            <w:pPr>
              <w:jc w:val="center"/>
              <w:rPr>
                <w:rFonts w:ascii="宋体" w:hAnsi="宋体" w:eastAsia="宋体" w:cs="Times New Roman"/>
                <w:color w:val="000000"/>
                <w:sz w:val="24"/>
                <w:szCs w:val="24"/>
              </w:rPr>
            </w:pPr>
          </w:p>
        </w:tc>
        <w:tc>
          <w:tcPr>
            <w:tcW w:w="2686" w:type="dxa"/>
            <w:vAlign w:val="center"/>
          </w:tcPr>
          <w:p w14:paraId="3E9E52EA">
            <w:pPr>
              <w:jc w:val="center"/>
              <w:rPr>
                <w:rFonts w:ascii="宋体" w:hAnsi="宋体" w:eastAsia="宋体" w:cs="Times New Roman"/>
                <w:color w:val="000000"/>
                <w:sz w:val="24"/>
                <w:szCs w:val="24"/>
              </w:rPr>
            </w:pPr>
          </w:p>
        </w:tc>
        <w:tc>
          <w:tcPr>
            <w:tcW w:w="1850" w:type="dxa"/>
          </w:tcPr>
          <w:p w14:paraId="6C797ABB">
            <w:pPr>
              <w:jc w:val="center"/>
              <w:rPr>
                <w:rFonts w:ascii="宋体" w:hAnsi="宋体" w:eastAsia="宋体" w:cs="Times New Roman"/>
                <w:color w:val="000000"/>
                <w:sz w:val="24"/>
                <w:szCs w:val="24"/>
              </w:rPr>
            </w:pPr>
          </w:p>
        </w:tc>
        <w:tc>
          <w:tcPr>
            <w:tcW w:w="1985" w:type="dxa"/>
            <w:vAlign w:val="center"/>
          </w:tcPr>
          <w:p w14:paraId="2C27B6EE">
            <w:pPr>
              <w:jc w:val="center"/>
              <w:rPr>
                <w:rFonts w:ascii="宋体" w:hAnsi="宋体" w:eastAsia="宋体" w:cs="Times New Roman"/>
                <w:color w:val="000000"/>
                <w:sz w:val="24"/>
                <w:szCs w:val="24"/>
              </w:rPr>
            </w:pPr>
          </w:p>
        </w:tc>
        <w:tc>
          <w:tcPr>
            <w:tcW w:w="1309" w:type="dxa"/>
            <w:vAlign w:val="center"/>
          </w:tcPr>
          <w:p w14:paraId="4EB9A37F">
            <w:pPr>
              <w:jc w:val="center"/>
              <w:rPr>
                <w:rFonts w:ascii="宋体" w:hAnsi="宋体" w:eastAsia="宋体" w:cs="Times New Roman"/>
                <w:color w:val="000000"/>
                <w:sz w:val="24"/>
                <w:szCs w:val="24"/>
              </w:rPr>
            </w:pPr>
          </w:p>
        </w:tc>
      </w:tr>
      <w:tr w14:paraId="0CB11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vAlign w:val="center"/>
          </w:tcPr>
          <w:p w14:paraId="20F3D04A">
            <w:pPr>
              <w:jc w:val="center"/>
              <w:rPr>
                <w:rFonts w:ascii="宋体" w:hAnsi="宋体" w:eastAsia="宋体" w:cs="Times New Roman"/>
                <w:color w:val="000000"/>
                <w:sz w:val="24"/>
                <w:szCs w:val="24"/>
              </w:rPr>
            </w:pPr>
          </w:p>
        </w:tc>
        <w:tc>
          <w:tcPr>
            <w:tcW w:w="2686" w:type="dxa"/>
            <w:vAlign w:val="center"/>
          </w:tcPr>
          <w:p w14:paraId="4F79A36C">
            <w:pPr>
              <w:jc w:val="center"/>
              <w:rPr>
                <w:rFonts w:ascii="宋体" w:hAnsi="宋体" w:eastAsia="宋体" w:cs="Times New Roman"/>
                <w:color w:val="000000"/>
                <w:sz w:val="24"/>
                <w:szCs w:val="24"/>
              </w:rPr>
            </w:pPr>
          </w:p>
        </w:tc>
        <w:tc>
          <w:tcPr>
            <w:tcW w:w="1850" w:type="dxa"/>
          </w:tcPr>
          <w:p w14:paraId="1AE9530E">
            <w:pPr>
              <w:jc w:val="center"/>
              <w:rPr>
                <w:rFonts w:ascii="宋体" w:hAnsi="宋体" w:eastAsia="宋体" w:cs="Times New Roman"/>
                <w:color w:val="000000"/>
                <w:sz w:val="24"/>
                <w:szCs w:val="24"/>
              </w:rPr>
            </w:pPr>
          </w:p>
        </w:tc>
        <w:tc>
          <w:tcPr>
            <w:tcW w:w="1985" w:type="dxa"/>
            <w:vAlign w:val="center"/>
          </w:tcPr>
          <w:p w14:paraId="0FDF0227">
            <w:pPr>
              <w:jc w:val="center"/>
              <w:rPr>
                <w:rFonts w:ascii="宋体" w:hAnsi="宋体" w:eastAsia="宋体" w:cs="Times New Roman"/>
                <w:color w:val="000000"/>
                <w:sz w:val="24"/>
                <w:szCs w:val="24"/>
              </w:rPr>
            </w:pPr>
          </w:p>
        </w:tc>
        <w:tc>
          <w:tcPr>
            <w:tcW w:w="1309" w:type="dxa"/>
            <w:vAlign w:val="center"/>
          </w:tcPr>
          <w:p w14:paraId="3860A5AF">
            <w:pPr>
              <w:jc w:val="center"/>
              <w:rPr>
                <w:rFonts w:ascii="宋体" w:hAnsi="宋体" w:eastAsia="宋体" w:cs="Times New Roman"/>
                <w:color w:val="000000"/>
                <w:sz w:val="24"/>
                <w:szCs w:val="24"/>
              </w:rPr>
            </w:pPr>
          </w:p>
        </w:tc>
      </w:tr>
    </w:tbl>
    <w:p w14:paraId="7F3C7AB6">
      <w:pPr>
        <w:spacing w:line="500" w:lineRule="exact"/>
        <w:ind w:firstLine="480"/>
        <w:rPr>
          <w:rFonts w:ascii="宋体" w:hAnsi="宋体" w:eastAsia="宋体" w:cs="Times New Roman"/>
          <w:color w:val="000000"/>
          <w:sz w:val="24"/>
          <w:szCs w:val="24"/>
        </w:rPr>
      </w:pPr>
    </w:p>
    <w:p w14:paraId="324D0232">
      <w:pPr>
        <w:spacing w:line="500" w:lineRule="exact"/>
        <w:ind w:firstLine="480"/>
        <w:rPr>
          <w:rFonts w:ascii="宋体" w:hAnsi="宋体" w:eastAsia="宋体" w:cs="Times New Roman"/>
          <w:color w:val="000000"/>
          <w:sz w:val="24"/>
          <w:szCs w:val="24"/>
        </w:rPr>
      </w:pPr>
    </w:p>
    <w:p w14:paraId="6C4FE0B9">
      <w:pPr>
        <w:spacing w:line="360" w:lineRule="auto"/>
        <w:ind w:firstLine="48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供应商（盖章）：</w:t>
      </w:r>
    </w:p>
    <w:p w14:paraId="4C3E85B3">
      <w:pPr>
        <w:spacing w:line="360" w:lineRule="auto"/>
        <w:ind w:firstLine="48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法定代表人</w:t>
      </w:r>
      <w:r>
        <w:rPr>
          <w:rFonts w:ascii="Calibri" w:hAnsi="Calibri" w:eastAsia="宋体" w:cs="Times New Roman"/>
          <w:sz w:val="24"/>
          <w:szCs w:val="24"/>
        </w:rPr>
        <w:t>（单位负责人）</w:t>
      </w:r>
      <w:r>
        <w:rPr>
          <w:rFonts w:hint="eastAsia" w:ascii="Times New Roman" w:hAnsi="Times New Roman" w:eastAsia="宋体" w:cs="Times New Roman"/>
          <w:color w:val="000000"/>
          <w:sz w:val="24"/>
          <w:szCs w:val="24"/>
        </w:rPr>
        <w:t>或委托代理人（签字或盖章）：</w:t>
      </w:r>
    </w:p>
    <w:p w14:paraId="3E5A59A9">
      <w:pPr>
        <w:spacing w:line="500" w:lineRule="exact"/>
        <w:ind w:firstLine="48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日期：    年     月     日</w:t>
      </w:r>
    </w:p>
    <w:p w14:paraId="716FD19F"/>
    <w:p w14:paraId="2EBB9627"/>
    <w:p w14:paraId="274C5F27">
      <w:pPr>
        <w:keepNext/>
        <w:keepLines/>
        <w:spacing w:before="360" w:after="200" w:line="360" w:lineRule="auto"/>
        <w:jc w:val="left"/>
        <w:outlineLvl w:val="1"/>
        <w:rPr>
          <w:rFonts w:ascii="Arial" w:hAnsi="Arial" w:eastAsia="宋体" w:cs="Arial"/>
          <w:iCs/>
          <w:sz w:val="36"/>
        </w:rPr>
      </w:pPr>
      <w:r>
        <w:rPr>
          <w:rFonts w:hint="eastAsia" w:ascii="Arial" w:hAnsi="Arial" w:eastAsia="宋体" w:cs="Arial"/>
          <w:iCs/>
          <w:sz w:val="36"/>
        </w:rPr>
        <w:br w:type="column"/>
      </w:r>
      <w:r>
        <w:rPr>
          <w:rFonts w:hint="eastAsia" w:ascii="Arial" w:hAnsi="Arial" w:eastAsia="宋体" w:cs="Arial"/>
          <w:iCs/>
          <w:sz w:val="36"/>
        </w:rPr>
        <w:t>十八、项目团队人员一览表（分包号：**）</w:t>
      </w:r>
    </w:p>
    <w:p w14:paraId="4672C2D6">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项目团队人员一览表</w:t>
      </w:r>
    </w:p>
    <w:p w14:paraId="76CB6F09">
      <w:pPr>
        <w:spacing w:line="360" w:lineRule="auto"/>
        <w:jc w:val="left"/>
      </w:pPr>
      <w:r>
        <w:rPr>
          <w:rFonts w:hint="eastAsia" w:ascii="宋体" w:hAnsi="宋体" w:eastAsia="宋体" w:cs="方正仿宋_GBK"/>
          <w:color w:val="000000"/>
          <w:sz w:val="24"/>
          <w:szCs w:val="24"/>
        </w:rPr>
        <w:t>项目名称：      项目编号：      分包号：</w:t>
      </w:r>
      <w:r>
        <w:rPr>
          <w:rFonts w:ascii="宋体" w:hAnsi="宋体" w:eastAsia="宋体" w:cs="Times New Roman"/>
          <w:bCs/>
          <w:color w:val="000000"/>
          <w:sz w:val="24"/>
          <w:szCs w:val="24"/>
        </w:rPr>
        <w:t xml:space="preserve"> </w:t>
      </w:r>
    </w:p>
    <w:tbl>
      <w:tblPr>
        <w:tblStyle w:val="43"/>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1"/>
        <w:gridCol w:w="1446"/>
        <w:gridCol w:w="2239"/>
        <w:gridCol w:w="1134"/>
        <w:gridCol w:w="1134"/>
        <w:gridCol w:w="1601"/>
      </w:tblGrid>
      <w:tr w14:paraId="6CE4A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51" w:type="dxa"/>
            <w:vAlign w:val="center"/>
          </w:tcPr>
          <w:p w14:paraId="6F2CB931">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姓名</w:t>
            </w:r>
          </w:p>
        </w:tc>
        <w:tc>
          <w:tcPr>
            <w:tcW w:w="1446" w:type="dxa"/>
            <w:vAlign w:val="center"/>
          </w:tcPr>
          <w:p w14:paraId="0FFD5647">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本项目拟担任职务</w:t>
            </w:r>
          </w:p>
        </w:tc>
        <w:tc>
          <w:tcPr>
            <w:tcW w:w="2239" w:type="dxa"/>
            <w:vAlign w:val="center"/>
          </w:tcPr>
          <w:p w14:paraId="2A48662B">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技术职称、专业资质</w:t>
            </w:r>
          </w:p>
        </w:tc>
        <w:tc>
          <w:tcPr>
            <w:tcW w:w="1134" w:type="dxa"/>
            <w:vAlign w:val="center"/>
          </w:tcPr>
          <w:p w14:paraId="1D4D2513">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学历</w:t>
            </w:r>
          </w:p>
        </w:tc>
        <w:tc>
          <w:tcPr>
            <w:tcW w:w="1134" w:type="dxa"/>
            <w:vAlign w:val="center"/>
          </w:tcPr>
          <w:p w14:paraId="680B876A">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年龄</w:t>
            </w:r>
          </w:p>
        </w:tc>
        <w:tc>
          <w:tcPr>
            <w:tcW w:w="1601" w:type="dxa"/>
            <w:vAlign w:val="center"/>
          </w:tcPr>
          <w:p w14:paraId="194C3F7B">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主要资历及担任过的职务</w:t>
            </w:r>
          </w:p>
        </w:tc>
      </w:tr>
      <w:tr w14:paraId="631EC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vAlign w:val="center"/>
          </w:tcPr>
          <w:p w14:paraId="52421071">
            <w:pPr>
              <w:jc w:val="center"/>
              <w:rPr>
                <w:rFonts w:ascii="宋体" w:hAnsi="宋体" w:eastAsia="宋体" w:cs="Times New Roman"/>
                <w:color w:val="000000"/>
                <w:sz w:val="24"/>
                <w:szCs w:val="24"/>
              </w:rPr>
            </w:pPr>
          </w:p>
        </w:tc>
        <w:tc>
          <w:tcPr>
            <w:tcW w:w="1446" w:type="dxa"/>
            <w:vAlign w:val="center"/>
          </w:tcPr>
          <w:p w14:paraId="088A5575">
            <w:pPr>
              <w:jc w:val="center"/>
              <w:rPr>
                <w:rFonts w:ascii="宋体" w:hAnsi="宋体" w:eastAsia="宋体" w:cs="Times New Roman"/>
                <w:color w:val="000000"/>
                <w:sz w:val="24"/>
                <w:szCs w:val="24"/>
              </w:rPr>
            </w:pPr>
          </w:p>
        </w:tc>
        <w:tc>
          <w:tcPr>
            <w:tcW w:w="2239" w:type="dxa"/>
          </w:tcPr>
          <w:p w14:paraId="7E470453">
            <w:pPr>
              <w:jc w:val="center"/>
              <w:rPr>
                <w:rFonts w:ascii="宋体" w:hAnsi="宋体" w:eastAsia="宋体" w:cs="Times New Roman"/>
                <w:color w:val="000000"/>
                <w:sz w:val="24"/>
                <w:szCs w:val="24"/>
              </w:rPr>
            </w:pPr>
          </w:p>
        </w:tc>
        <w:tc>
          <w:tcPr>
            <w:tcW w:w="1134" w:type="dxa"/>
          </w:tcPr>
          <w:p w14:paraId="7B8E1EEC">
            <w:pPr>
              <w:jc w:val="center"/>
              <w:rPr>
                <w:rFonts w:ascii="宋体" w:hAnsi="宋体" w:eastAsia="宋体" w:cs="Times New Roman"/>
                <w:color w:val="000000"/>
                <w:sz w:val="24"/>
                <w:szCs w:val="24"/>
              </w:rPr>
            </w:pPr>
            <w:r>
              <w:rPr>
                <w:rFonts w:ascii="宋体" w:hAnsi="宋体" w:eastAsia="宋体" w:cs="Times New Roman"/>
                <w:color w:val="000000"/>
                <w:sz w:val="24"/>
                <w:szCs w:val="24"/>
              </w:rPr>
              <w:t>根据项目需求、评分办法确定一览表格式</w:t>
            </w:r>
          </w:p>
        </w:tc>
        <w:tc>
          <w:tcPr>
            <w:tcW w:w="1134" w:type="dxa"/>
            <w:vAlign w:val="center"/>
          </w:tcPr>
          <w:p w14:paraId="487E2EC2">
            <w:pPr>
              <w:jc w:val="center"/>
              <w:rPr>
                <w:rFonts w:ascii="宋体" w:hAnsi="宋体" w:eastAsia="宋体" w:cs="Times New Roman"/>
                <w:color w:val="000000"/>
                <w:sz w:val="24"/>
                <w:szCs w:val="24"/>
              </w:rPr>
            </w:pPr>
            <w:r>
              <w:rPr>
                <w:rFonts w:ascii="宋体" w:hAnsi="宋体" w:eastAsia="宋体" w:cs="Times New Roman"/>
                <w:color w:val="000000"/>
                <w:sz w:val="24"/>
                <w:szCs w:val="24"/>
              </w:rPr>
              <w:t>根据项目需求、评分办法确定一览表格式</w:t>
            </w:r>
          </w:p>
        </w:tc>
        <w:tc>
          <w:tcPr>
            <w:tcW w:w="1601" w:type="dxa"/>
            <w:vAlign w:val="center"/>
          </w:tcPr>
          <w:p w14:paraId="688508EB">
            <w:pPr>
              <w:jc w:val="center"/>
              <w:rPr>
                <w:rFonts w:ascii="宋体" w:hAnsi="宋体" w:eastAsia="宋体" w:cs="Times New Roman"/>
                <w:color w:val="000000"/>
                <w:sz w:val="24"/>
                <w:szCs w:val="24"/>
              </w:rPr>
            </w:pPr>
          </w:p>
        </w:tc>
      </w:tr>
      <w:tr w14:paraId="1806A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vAlign w:val="center"/>
          </w:tcPr>
          <w:p w14:paraId="1C8355A6">
            <w:pPr>
              <w:jc w:val="center"/>
              <w:rPr>
                <w:rFonts w:ascii="宋体" w:hAnsi="宋体" w:eastAsia="宋体" w:cs="Times New Roman"/>
                <w:color w:val="000000"/>
                <w:sz w:val="24"/>
                <w:szCs w:val="24"/>
              </w:rPr>
            </w:pPr>
          </w:p>
        </w:tc>
        <w:tc>
          <w:tcPr>
            <w:tcW w:w="1446" w:type="dxa"/>
            <w:vAlign w:val="center"/>
          </w:tcPr>
          <w:p w14:paraId="629398FD">
            <w:pPr>
              <w:jc w:val="center"/>
              <w:rPr>
                <w:rFonts w:ascii="宋体" w:hAnsi="宋体" w:eastAsia="宋体" w:cs="Times New Roman"/>
                <w:color w:val="000000"/>
                <w:sz w:val="24"/>
                <w:szCs w:val="24"/>
              </w:rPr>
            </w:pPr>
          </w:p>
        </w:tc>
        <w:tc>
          <w:tcPr>
            <w:tcW w:w="2239" w:type="dxa"/>
          </w:tcPr>
          <w:p w14:paraId="4BCD9E37">
            <w:pPr>
              <w:jc w:val="center"/>
              <w:rPr>
                <w:rFonts w:ascii="宋体" w:hAnsi="宋体" w:eastAsia="宋体" w:cs="Times New Roman"/>
                <w:color w:val="000000"/>
                <w:sz w:val="24"/>
                <w:szCs w:val="24"/>
              </w:rPr>
            </w:pPr>
          </w:p>
        </w:tc>
        <w:tc>
          <w:tcPr>
            <w:tcW w:w="1134" w:type="dxa"/>
          </w:tcPr>
          <w:p w14:paraId="6FBB7232">
            <w:pPr>
              <w:jc w:val="center"/>
              <w:rPr>
                <w:rFonts w:ascii="宋体" w:hAnsi="宋体" w:eastAsia="宋体" w:cs="Times New Roman"/>
                <w:color w:val="000000"/>
                <w:sz w:val="24"/>
                <w:szCs w:val="24"/>
              </w:rPr>
            </w:pPr>
          </w:p>
        </w:tc>
        <w:tc>
          <w:tcPr>
            <w:tcW w:w="1134" w:type="dxa"/>
            <w:vAlign w:val="center"/>
          </w:tcPr>
          <w:p w14:paraId="2496F4A8">
            <w:pPr>
              <w:jc w:val="center"/>
              <w:rPr>
                <w:rFonts w:ascii="宋体" w:hAnsi="宋体" w:eastAsia="宋体" w:cs="Times New Roman"/>
                <w:color w:val="000000"/>
                <w:sz w:val="24"/>
                <w:szCs w:val="24"/>
              </w:rPr>
            </w:pPr>
          </w:p>
        </w:tc>
        <w:tc>
          <w:tcPr>
            <w:tcW w:w="1601" w:type="dxa"/>
            <w:vAlign w:val="center"/>
          </w:tcPr>
          <w:p w14:paraId="5DED3A9F">
            <w:pPr>
              <w:jc w:val="center"/>
              <w:rPr>
                <w:rFonts w:ascii="宋体" w:hAnsi="宋体" w:eastAsia="宋体" w:cs="Times New Roman"/>
                <w:color w:val="000000"/>
                <w:sz w:val="24"/>
                <w:szCs w:val="24"/>
              </w:rPr>
            </w:pPr>
          </w:p>
        </w:tc>
      </w:tr>
      <w:tr w14:paraId="56F8B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vAlign w:val="center"/>
          </w:tcPr>
          <w:p w14:paraId="0C83A5D7">
            <w:pPr>
              <w:jc w:val="center"/>
              <w:rPr>
                <w:rFonts w:ascii="宋体" w:hAnsi="宋体" w:eastAsia="宋体" w:cs="Times New Roman"/>
                <w:color w:val="000000"/>
                <w:sz w:val="24"/>
                <w:szCs w:val="24"/>
              </w:rPr>
            </w:pPr>
          </w:p>
        </w:tc>
        <w:tc>
          <w:tcPr>
            <w:tcW w:w="1446" w:type="dxa"/>
            <w:vAlign w:val="center"/>
          </w:tcPr>
          <w:p w14:paraId="030764A1">
            <w:pPr>
              <w:jc w:val="center"/>
              <w:rPr>
                <w:rFonts w:ascii="宋体" w:hAnsi="宋体" w:eastAsia="宋体" w:cs="Times New Roman"/>
                <w:color w:val="000000"/>
                <w:sz w:val="24"/>
                <w:szCs w:val="24"/>
              </w:rPr>
            </w:pPr>
          </w:p>
        </w:tc>
        <w:tc>
          <w:tcPr>
            <w:tcW w:w="2239" w:type="dxa"/>
          </w:tcPr>
          <w:p w14:paraId="2AAE88E4">
            <w:pPr>
              <w:jc w:val="center"/>
              <w:rPr>
                <w:rFonts w:ascii="宋体" w:hAnsi="宋体" w:eastAsia="宋体" w:cs="Times New Roman"/>
                <w:color w:val="000000"/>
                <w:sz w:val="24"/>
                <w:szCs w:val="24"/>
              </w:rPr>
            </w:pPr>
          </w:p>
        </w:tc>
        <w:tc>
          <w:tcPr>
            <w:tcW w:w="1134" w:type="dxa"/>
          </w:tcPr>
          <w:p w14:paraId="69272489">
            <w:pPr>
              <w:jc w:val="center"/>
              <w:rPr>
                <w:rFonts w:ascii="宋体" w:hAnsi="宋体" w:eastAsia="宋体" w:cs="Times New Roman"/>
                <w:color w:val="000000"/>
                <w:sz w:val="24"/>
                <w:szCs w:val="24"/>
              </w:rPr>
            </w:pPr>
          </w:p>
        </w:tc>
        <w:tc>
          <w:tcPr>
            <w:tcW w:w="1134" w:type="dxa"/>
            <w:vAlign w:val="center"/>
          </w:tcPr>
          <w:p w14:paraId="3959715D">
            <w:pPr>
              <w:jc w:val="center"/>
              <w:rPr>
                <w:rFonts w:ascii="宋体" w:hAnsi="宋体" w:eastAsia="宋体" w:cs="Times New Roman"/>
                <w:color w:val="000000"/>
                <w:sz w:val="24"/>
                <w:szCs w:val="24"/>
              </w:rPr>
            </w:pPr>
          </w:p>
        </w:tc>
        <w:tc>
          <w:tcPr>
            <w:tcW w:w="1601" w:type="dxa"/>
            <w:vAlign w:val="center"/>
          </w:tcPr>
          <w:p w14:paraId="642C99C2">
            <w:pPr>
              <w:jc w:val="center"/>
              <w:rPr>
                <w:rFonts w:ascii="宋体" w:hAnsi="宋体" w:eastAsia="宋体" w:cs="Times New Roman"/>
                <w:color w:val="000000"/>
                <w:sz w:val="24"/>
                <w:szCs w:val="24"/>
              </w:rPr>
            </w:pPr>
          </w:p>
        </w:tc>
      </w:tr>
    </w:tbl>
    <w:p w14:paraId="309D4BF4">
      <w:pPr>
        <w:spacing w:line="500" w:lineRule="exact"/>
        <w:ind w:firstLine="480"/>
        <w:rPr>
          <w:rFonts w:ascii="宋体" w:hAnsi="宋体" w:eastAsia="宋体" w:cs="Times New Roman"/>
          <w:color w:val="000000"/>
          <w:sz w:val="24"/>
          <w:szCs w:val="24"/>
        </w:rPr>
      </w:pPr>
    </w:p>
    <w:p w14:paraId="65055719">
      <w:pPr>
        <w:spacing w:line="360" w:lineRule="auto"/>
        <w:ind w:firstLine="48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供应商（盖章）：</w:t>
      </w:r>
    </w:p>
    <w:p w14:paraId="0511C170">
      <w:pPr>
        <w:spacing w:line="360" w:lineRule="auto"/>
        <w:ind w:firstLine="48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法定代表人</w:t>
      </w:r>
      <w:r>
        <w:rPr>
          <w:rFonts w:ascii="Calibri" w:hAnsi="Calibri" w:eastAsia="宋体" w:cs="Times New Roman"/>
          <w:sz w:val="24"/>
          <w:szCs w:val="24"/>
        </w:rPr>
        <w:t>（单位负责人）</w:t>
      </w:r>
      <w:r>
        <w:rPr>
          <w:rFonts w:hint="eastAsia" w:ascii="Times New Roman" w:hAnsi="Times New Roman" w:eastAsia="宋体" w:cs="Times New Roman"/>
          <w:color w:val="000000"/>
          <w:sz w:val="24"/>
          <w:szCs w:val="24"/>
        </w:rPr>
        <w:t>或委托代理人（签字或盖章）：</w:t>
      </w:r>
    </w:p>
    <w:p w14:paraId="63014CF2">
      <w:pPr>
        <w:spacing w:line="500" w:lineRule="exact"/>
        <w:ind w:firstLine="48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日期：    年     月     日</w:t>
      </w:r>
    </w:p>
    <w:p w14:paraId="5050D1D0">
      <w:pPr>
        <w:widowControl/>
        <w:jc w:val="left"/>
        <w:rPr>
          <w:rFonts w:ascii="黑体" w:hAnsi="黑体" w:eastAsia="黑体" w:cs="仿宋"/>
          <w:bCs/>
          <w:color w:val="000000"/>
          <w:sz w:val="40"/>
          <w:szCs w:val="32"/>
        </w:rPr>
      </w:pPr>
      <w:bookmarkStart w:id="23" w:name="_Hlt26955066"/>
      <w:bookmarkEnd w:id="23"/>
      <w:bookmarkStart w:id="24" w:name="_Hlt26671374"/>
      <w:bookmarkEnd w:id="24"/>
      <w:bookmarkStart w:id="25" w:name="_Hlt26609389"/>
      <w:bookmarkEnd w:id="25"/>
      <w:bookmarkStart w:id="26" w:name="_格式2__法定代表人授权书"/>
      <w:bookmarkEnd w:id="26"/>
      <w:r>
        <w:rPr>
          <w:rFonts w:ascii="黑体" w:hAnsi="黑体" w:eastAsia="黑体" w:cs="仿宋"/>
          <w:bCs/>
          <w:color w:val="000000"/>
          <w:sz w:val="40"/>
          <w:szCs w:val="32"/>
        </w:rPr>
        <w:br w:type="page" w:clear="all"/>
      </w:r>
    </w:p>
    <w:p w14:paraId="1C1A5A14">
      <w:pPr>
        <w:jc w:val="center"/>
        <w:rPr>
          <w:rFonts w:ascii="黑体" w:hAnsi="黑体" w:eastAsia="黑体" w:cs="仿宋"/>
          <w:bCs/>
          <w:color w:val="000000"/>
          <w:sz w:val="40"/>
          <w:szCs w:val="32"/>
        </w:rPr>
      </w:pPr>
      <w:r>
        <w:rPr>
          <w:rFonts w:hint="eastAsia" w:ascii="黑体" w:hAnsi="黑体" w:eastAsia="黑体" w:cs="仿宋"/>
          <w:bCs/>
          <w:color w:val="000000"/>
          <w:sz w:val="40"/>
          <w:szCs w:val="32"/>
        </w:rPr>
        <w:t>质疑函范本</w:t>
      </w:r>
    </w:p>
    <w:p w14:paraId="46AD8A2D">
      <w:pPr>
        <w:spacing w:line="500" w:lineRule="exact"/>
        <w:rPr>
          <w:rFonts w:ascii="宋体" w:hAnsi="宋体" w:eastAsia="宋体" w:cs="仿宋"/>
          <w:bCs/>
          <w:color w:val="000000"/>
          <w:sz w:val="24"/>
          <w:szCs w:val="24"/>
        </w:rPr>
      </w:pPr>
      <w:r>
        <w:rPr>
          <w:rFonts w:hint="eastAsia" w:ascii="宋体" w:hAnsi="宋体" w:eastAsia="宋体" w:cs="仿宋"/>
          <w:bCs/>
          <w:color w:val="000000"/>
          <w:sz w:val="24"/>
          <w:szCs w:val="24"/>
        </w:rPr>
        <w:t>致：</w:t>
      </w:r>
      <w:r>
        <w:rPr>
          <w:rFonts w:hint="eastAsia" w:ascii="宋体" w:hAnsi="宋体" w:eastAsia="宋体" w:cs="仿宋"/>
          <w:color w:val="000000"/>
          <w:sz w:val="24"/>
          <w:szCs w:val="24"/>
          <w:u w:val="single"/>
        </w:rPr>
        <w:t xml:space="preserve">                                                                 </w:t>
      </w:r>
    </w:p>
    <w:p w14:paraId="0108F3AC">
      <w:pPr>
        <w:spacing w:line="500" w:lineRule="exact"/>
        <w:rPr>
          <w:rFonts w:ascii="黑体" w:hAnsi="黑体" w:eastAsia="黑体" w:cs="仿宋"/>
          <w:bCs/>
          <w:color w:val="000000"/>
          <w:sz w:val="24"/>
          <w:szCs w:val="24"/>
        </w:rPr>
      </w:pPr>
      <w:r>
        <w:rPr>
          <w:rFonts w:hint="eastAsia" w:ascii="黑体" w:hAnsi="黑体" w:eastAsia="黑体" w:cs="仿宋"/>
          <w:bCs/>
          <w:color w:val="000000"/>
          <w:sz w:val="24"/>
          <w:szCs w:val="24"/>
        </w:rPr>
        <w:t>一、质疑供应商基本信息</w:t>
      </w:r>
    </w:p>
    <w:p w14:paraId="7DE36AC8">
      <w:pPr>
        <w:spacing w:line="500" w:lineRule="exact"/>
        <w:rPr>
          <w:rFonts w:ascii="宋体" w:hAnsi="宋体" w:eastAsia="宋体" w:cs="仿宋"/>
          <w:color w:val="000000"/>
          <w:sz w:val="24"/>
          <w:szCs w:val="24"/>
          <w:u w:val="single"/>
        </w:rPr>
      </w:pPr>
      <w:r>
        <w:rPr>
          <w:rFonts w:hint="eastAsia" w:ascii="宋体" w:hAnsi="宋体" w:eastAsia="宋体" w:cs="仿宋"/>
          <w:color w:val="000000"/>
          <w:sz w:val="24"/>
          <w:szCs w:val="24"/>
        </w:rPr>
        <w:t>质疑供应商：</w:t>
      </w:r>
      <w:r>
        <w:rPr>
          <w:rFonts w:hint="eastAsia" w:ascii="宋体" w:hAnsi="宋体" w:eastAsia="宋体" w:cs="仿宋"/>
          <w:color w:val="000000"/>
          <w:sz w:val="24"/>
          <w:szCs w:val="24"/>
          <w:u w:val="single"/>
        </w:rPr>
        <w:t xml:space="preserve">                                                         </w:t>
      </w:r>
    </w:p>
    <w:p w14:paraId="114E5905">
      <w:pPr>
        <w:spacing w:line="500" w:lineRule="exact"/>
        <w:rPr>
          <w:rFonts w:ascii="宋体" w:hAnsi="宋体" w:eastAsia="宋体" w:cs="仿宋"/>
          <w:color w:val="000000"/>
          <w:sz w:val="24"/>
          <w:szCs w:val="24"/>
        </w:rPr>
      </w:pPr>
      <w:r>
        <w:rPr>
          <w:rFonts w:hint="eastAsia" w:ascii="宋体" w:hAnsi="宋体" w:eastAsia="宋体" w:cs="仿宋"/>
          <w:color w:val="000000"/>
          <w:sz w:val="24"/>
          <w:szCs w:val="24"/>
        </w:rPr>
        <w:t>地址：</w:t>
      </w:r>
      <w:r>
        <w:rPr>
          <w:rFonts w:hint="eastAsia" w:ascii="宋体" w:hAnsi="宋体" w:eastAsia="宋体" w:cs="仿宋"/>
          <w:color w:val="000000"/>
          <w:sz w:val="24"/>
          <w:szCs w:val="24"/>
          <w:u w:val="single"/>
        </w:rPr>
        <w:t xml:space="preserve">                             </w:t>
      </w:r>
      <w:r>
        <w:rPr>
          <w:rFonts w:hint="eastAsia" w:ascii="宋体" w:hAnsi="宋体" w:eastAsia="宋体" w:cs="仿宋"/>
          <w:color w:val="000000"/>
          <w:sz w:val="24"/>
          <w:szCs w:val="24"/>
        </w:rPr>
        <w:t>邮编：</w:t>
      </w:r>
      <w:r>
        <w:rPr>
          <w:rFonts w:hint="eastAsia" w:ascii="宋体" w:hAnsi="宋体" w:eastAsia="宋体" w:cs="仿宋"/>
          <w:color w:val="000000"/>
          <w:sz w:val="24"/>
          <w:szCs w:val="24"/>
          <w:u w:val="single"/>
        </w:rPr>
        <w:t xml:space="preserve">                            </w:t>
      </w:r>
    </w:p>
    <w:p w14:paraId="5A7E54F3">
      <w:pPr>
        <w:spacing w:line="500" w:lineRule="exact"/>
        <w:rPr>
          <w:rFonts w:ascii="宋体" w:hAnsi="宋体" w:eastAsia="宋体" w:cs="仿宋"/>
          <w:color w:val="000000"/>
          <w:sz w:val="24"/>
          <w:szCs w:val="24"/>
        </w:rPr>
      </w:pPr>
      <w:r>
        <w:rPr>
          <w:rFonts w:hint="eastAsia" w:ascii="宋体" w:hAnsi="宋体" w:eastAsia="宋体" w:cs="仿宋"/>
          <w:color w:val="000000"/>
          <w:sz w:val="24"/>
          <w:szCs w:val="24"/>
        </w:rPr>
        <w:t>联系人：</w:t>
      </w:r>
      <w:r>
        <w:rPr>
          <w:rFonts w:hint="eastAsia" w:ascii="宋体" w:hAnsi="宋体" w:eastAsia="宋体" w:cs="仿宋"/>
          <w:color w:val="000000"/>
          <w:sz w:val="24"/>
          <w:szCs w:val="24"/>
          <w:u w:val="single"/>
        </w:rPr>
        <w:t xml:space="preserve">                      </w:t>
      </w:r>
      <w:r>
        <w:rPr>
          <w:rFonts w:hint="eastAsia" w:ascii="宋体" w:hAnsi="宋体" w:eastAsia="宋体" w:cs="仿宋"/>
          <w:color w:val="000000"/>
          <w:sz w:val="24"/>
          <w:szCs w:val="24"/>
        </w:rPr>
        <w:t>联系电话：</w:t>
      </w:r>
      <w:r>
        <w:rPr>
          <w:rFonts w:hint="eastAsia" w:ascii="宋体" w:hAnsi="宋体" w:eastAsia="宋体" w:cs="仿宋"/>
          <w:color w:val="000000"/>
          <w:sz w:val="24"/>
          <w:szCs w:val="24"/>
          <w:u w:val="single"/>
        </w:rPr>
        <w:t xml:space="preserve">                             </w:t>
      </w:r>
    </w:p>
    <w:p w14:paraId="21749910">
      <w:pPr>
        <w:spacing w:line="500" w:lineRule="exact"/>
        <w:rPr>
          <w:rFonts w:ascii="宋体" w:hAnsi="宋体" w:eastAsia="宋体" w:cs="仿宋"/>
          <w:color w:val="000000"/>
          <w:sz w:val="24"/>
          <w:szCs w:val="24"/>
          <w:u w:val="single"/>
        </w:rPr>
      </w:pPr>
      <w:r>
        <w:rPr>
          <w:rFonts w:hint="eastAsia" w:ascii="宋体" w:hAnsi="宋体" w:eastAsia="宋体" w:cs="仿宋"/>
          <w:color w:val="000000"/>
          <w:sz w:val="24"/>
          <w:szCs w:val="24"/>
        </w:rPr>
        <w:t>授权代表：</w:t>
      </w:r>
      <w:r>
        <w:rPr>
          <w:rFonts w:hint="eastAsia" w:ascii="宋体" w:hAnsi="宋体" w:eastAsia="宋体" w:cs="仿宋"/>
          <w:color w:val="000000"/>
          <w:sz w:val="24"/>
          <w:szCs w:val="24"/>
          <w:u w:val="single"/>
        </w:rPr>
        <w:t xml:space="preserve">                                                           </w:t>
      </w:r>
    </w:p>
    <w:p w14:paraId="5EC8718C">
      <w:pPr>
        <w:spacing w:line="500" w:lineRule="exact"/>
        <w:rPr>
          <w:rFonts w:ascii="宋体" w:hAnsi="宋体" w:eastAsia="宋体" w:cs="仿宋"/>
          <w:color w:val="000000"/>
          <w:sz w:val="24"/>
          <w:szCs w:val="24"/>
        </w:rPr>
      </w:pPr>
      <w:r>
        <w:rPr>
          <w:rFonts w:hint="eastAsia" w:ascii="宋体" w:hAnsi="宋体" w:eastAsia="宋体" w:cs="仿宋"/>
          <w:color w:val="000000"/>
          <w:sz w:val="24"/>
          <w:szCs w:val="24"/>
        </w:rPr>
        <w:t>联系电话：</w:t>
      </w:r>
      <w:r>
        <w:rPr>
          <w:rFonts w:hint="eastAsia" w:ascii="宋体" w:hAnsi="宋体" w:eastAsia="宋体" w:cs="仿宋"/>
          <w:color w:val="000000"/>
          <w:sz w:val="24"/>
          <w:szCs w:val="24"/>
          <w:u w:val="single"/>
        </w:rPr>
        <w:t xml:space="preserve">                                                           </w:t>
      </w:r>
    </w:p>
    <w:p w14:paraId="743D44E0">
      <w:pPr>
        <w:spacing w:line="500" w:lineRule="exact"/>
        <w:rPr>
          <w:rFonts w:ascii="宋体" w:hAnsi="宋体" w:eastAsia="宋体" w:cs="仿宋"/>
          <w:color w:val="000000"/>
          <w:sz w:val="24"/>
          <w:szCs w:val="24"/>
        </w:rPr>
      </w:pPr>
      <w:r>
        <w:rPr>
          <w:rFonts w:hint="eastAsia" w:ascii="宋体" w:hAnsi="宋体" w:eastAsia="宋体" w:cs="仿宋"/>
          <w:color w:val="000000"/>
          <w:sz w:val="24"/>
          <w:szCs w:val="24"/>
        </w:rPr>
        <w:t>地址：</w:t>
      </w:r>
      <w:r>
        <w:rPr>
          <w:rFonts w:ascii="宋体" w:hAnsi="宋体" w:eastAsia="宋体" w:cs="仿宋"/>
          <w:color w:val="000000"/>
          <w:sz w:val="24"/>
          <w:szCs w:val="24"/>
        </w:rPr>
        <w:t xml:space="preserve"> </w:t>
      </w:r>
      <w:r>
        <w:rPr>
          <w:rFonts w:hint="eastAsia" w:ascii="宋体" w:hAnsi="宋体" w:eastAsia="宋体" w:cs="仿宋"/>
          <w:color w:val="000000"/>
          <w:sz w:val="24"/>
          <w:szCs w:val="24"/>
          <w:u w:val="single"/>
        </w:rPr>
        <w:t xml:space="preserve">                        </w:t>
      </w:r>
      <w:r>
        <w:rPr>
          <w:rFonts w:hint="eastAsia" w:ascii="宋体" w:hAnsi="宋体" w:eastAsia="宋体" w:cs="仿宋"/>
          <w:color w:val="000000"/>
          <w:sz w:val="24"/>
          <w:szCs w:val="24"/>
        </w:rPr>
        <w:t>邮编：</w:t>
      </w:r>
      <w:r>
        <w:rPr>
          <w:rFonts w:hint="eastAsia" w:ascii="宋体" w:hAnsi="宋体" w:eastAsia="宋体" w:cs="仿宋"/>
          <w:color w:val="000000"/>
          <w:sz w:val="24"/>
          <w:szCs w:val="24"/>
          <w:u w:val="single"/>
        </w:rPr>
        <w:t xml:space="preserve">                                </w:t>
      </w:r>
    </w:p>
    <w:p w14:paraId="616124DB">
      <w:pPr>
        <w:spacing w:line="500" w:lineRule="exact"/>
        <w:rPr>
          <w:rFonts w:ascii="黑体" w:hAnsi="黑体" w:eastAsia="黑体" w:cs="仿宋"/>
          <w:bCs/>
          <w:color w:val="000000"/>
          <w:sz w:val="24"/>
          <w:szCs w:val="24"/>
        </w:rPr>
      </w:pPr>
      <w:r>
        <w:rPr>
          <w:rFonts w:hint="eastAsia" w:ascii="黑体" w:hAnsi="黑体" w:eastAsia="黑体" w:cs="仿宋"/>
          <w:bCs/>
          <w:color w:val="000000"/>
          <w:sz w:val="24"/>
          <w:szCs w:val="24"/>
        </w:rPr>
        <w:t>二、质疑项目基本情况</w:t>
      </w:r>
    </w:p>
    <w:p w14:paraId="72C72A1E">
      <w:pPr>
        <w:spacing w:line="500" w:lineRule="exact"/>
        <w:rPr>
          <w:rFonts w:ascii="宋体" w:hAnsi="宋体" w:eastAsia="宋体" w:cs="仿宋"/>
          <w:color w:val="000000"/>
          <w:sz w:val="24"/>
          <w:szCs w:val="24"/>
        </w:rPr>
      </w:pPr>
      <w:r>
        <w:rPr>
          <w:rFonts w:hint="eastAsia" w:ascii="宋体" w:hAnsi="宋体" w:eastAsia="宋体" w:cs="仿宋"/>
          <w:color w:val="000000"/>
          <w:sz w:val="24"/>
          <w:szCs w:val="24"/>
        </w:rPr>
        <w:t>质疑项目的名称：</w:t>
      </w:r>
      <w:r>
        <w:rPr>
          <w:rFonts w:hint="eastAsia" w:ascii="宋体" w:hAnsi="宋体" w:eastAsia="宋体" w:cs="仿宋"/>
          <w:color w:val="000000"/>
          <w:sz w:val="24"/>
          <w:szCs w:val="24"/>
          <w:u w:val="single"/>
        </w:rPr>
        <w:t xml:space="preserve">                                                     </w:t>
      </w:r>
    </w:p>
    <w:p w14:paraId="0A625AD8">
      <w:pPr>
        <w:spacing w:line="500" w:lineRule="exact"/>
        <w:rPr>
          <w:rFonts w:ascii="宋体" w:hAnsi="宋体" w:eastAsia="宋体" w:cs="仿宋"/>
          <w:color w:val="000000"/>
          <w:sz w:val="24"/>
          <w:szCs w:val="24"/>
        </w:rPr>
      </w:pPr>
      <w:r>
        <w:rPr>
          <w:rFonts w:hint="eastAsia" w:ascii="宋体" w:hAnsi="宋体" w:eastAsia="宋体" w:cs="仿宋"/>
          <w:color w:val="000000"/>
          <w:sz w:val="24"/>
          <w:szCs w:val="24"/>
        </w:rPr>
        <w:t>质疑项目的编号：</w:t>
      </w:r>
      <w:r>
        <w:rPr>
          <w:rFonts w:hint="eastAsia" w:ascii="宋体" w:hAnsi="宋体" w:eastAsia="宋体" w:cs="仿宋"/>
          <w:color w:val="000000"/>
          <w:sz w:val="24"/>
          <w:szCs w:val="24"/>
          <w:u w:val="single"/>
        </w:rPr>
        <w:t xml:space="preserve">                         </w:t>
      </w:r>
      <w:r>
        <w:rPr>
          <w:rFonts w:hint="eastAsia" w:ascii="宋体" w:hAnsi="宋体" w:eastAsia="宋体" w:cs="仿宋"/>
          <w:color w:val="000000"/>
          <w:sz w:val="24"/>
          <w:szCs w:val="24"/>
        </w:rPr>
        <w:t>包号：</w:t>
      </w:r>
      <w:r>
        <w:rPr>
          <w:rFonts w:hint="eastAsia" w:ascii="宋体" w:hAnsi="宋体" w:eastAsia="宋体" w:cs="仿宋"/>
          <w:color w:val="000000"/>
          <w:sz w:val="24"/>
          <w:szCs w:val="24"/>
          <w:u w:val="single"/>
        </w:rPr>
        <w:t xml:space="preserve">                      </w:t>
      </w:r>
    </w:p>
    <w:p w14:paraId="45CF86CB">
      <w:pPr>
        <w:spacing w:line="500" w:lineRule="exact"/>
        <w:rPr>
          <w:rFonts w:ascii="宋体" w:hAnsi="宋体" w:eastAsia="宋体" w:cs="仿宋"/>
          <w:color w:val="000000"/>
          <w:sz w:val="24"/>
          <w:szCs w:val="24"/>
          <w:u w:val="single"/>
        </w:rPr>
      </w:pPr>
      <w:r>
        <w:rPr>
          <w:rFonts w:hint="eastAsia" w:ascii="宋体" w:hAnsi="宋体" w:eastAsia="宋体" w:cs="仿宋"/>
          <w:color w:val="000000"/>
          <w:sz w:val="24"/>
          <w:szCs w:val="24"/>
        </w:rPr>
        <w:t>采购人名称：</w:t>
      </w:r>
      <w:r>
        <w:rPr>
          <w:rFonts w:hint="eastAsia" w:ascii="宋体" w:hAnsi="宋体" w:eastAsia="宋体" w:cs="仿宋"/>
          <w:color w:val="000000"/>
          <w:sz w:val="24"/>
          <w:szCs w:val="24"/>
          <w:u w:val="single"/>
        </w:rPr>
        <w:t xml:space="preserve">                                                         </w:t>
      </w:r>
    </w:p>
    <w:p w14:paraId="531DE2C6">
      <w:pPr>
        <w:spacing w:line="500" w:lineRule="exact"/>
        <w:rPr>
          <w:rFonts w:ascii="宋体" w:hAnsi="宋体" w:eastAsia="宋体" w:cs="仿宋"/>
          <w:color w:val="000000"/>
          <w:sz w:val="24"/>
          <w:szCs w:val="24"/>
        </w:rPr>
      </w:pPr>
      <w:r>
        <w:rPr>
          <w:rFonts w:hint="eastAsia" w:ascii="宋体" w:hAnsi="宋体" w:eastAsia="宋体" w:cs="仿宋"/>
          <w:color w:val="000000"/>
          <w:sz w:val="24"/>
          <w:szCs w:val="24"/>
        </w:rPr>
        <w:t>采购文件获取日期：</w:t>
      </w:r>
      <w:r>
        <w:rPr>
          <w:rFonts w:hint="eastAsia" w:ascii="宋体" w:hAnsi="宋体" w:eastAsia="宋体" w:cs="仿宋"/>
          <w:color w:val="000000"/>
          <w:sz w:val="24"/>
          <w:szCs w:val="24"/>
          <w:u w:val="single"/>
        </w:rPr>
        <w:t xml:space="preserve">                                                   </w:t>
      </w:r>
    </w:p>
    <w:p w14:paraId="5A221DF4">
      <w:pPr>
        <w:spacing w:line="500" w:lineRule="exact"/>
        <w:rPr>
          <w:rFonts w:ascii="黑体" w:hAnsi="黑体" w:eastAsia="黑体" w:cs="仿宋"/>
          <w:bCs/>
          <w:color w:val="000000"/>
          <w:sz w:val="24"/>
          <w:szCs w:val="24"/>
        </w:rPr>
      </w:pPr>
      <w:r>
        <w:rPr>
          <w:rFonts w:hint="eastAsia" w:ascii="黑体" w:hAnsi="黑体" w:eastAsia="黑体" w:cs="仿宋"/>
          <w:bCs/>
          <w:color w:val="000000"/>
          <w:sz w:val="24"/>
          <w:szCs w:val="24"/>
        </w:rPr>
        <w:t>三、质疑事项具体内容</w:t>
      </w:r>
    </w:p>
    <w:p w14:paraId="19CF7E7F">
      <w:pPr>
        <w:spacing w:line="500" w:lineRule="exact"/>
        <w:rPr>
          <w:rFonts w:ascii="宋体" w:hAnsi="宋体" w:eastAsia="宋体" w:cs="仿宋"/>
          <w:color w:val="000000"/>
          <w:sz w:val="24"/>
          <w:szCs w:val="24"/>
          <w:u w:val="single"/>
        </w:rPr>
      </w:pPr>
      <w:r>
        <w:rPr>
          <w:rFonts w:hint="eastAsia" w:ascii="宋体" w:hAnsi="宋体" w:eastAsia="宋体" w:cs="仿宋"/>
          <w:color w:val="000000"/>
          <w:sz w:val="24"/>
          <w:szCs w:val="24"/>
        </w:rPr>
        <w:t>质疑事项1：</w:t>
      </w:r>
      <w:r>
        <w:rPr>
          <w:rFonts w:hint="eastAsia" w:ascii="宋体" w:hAnsi="宋体" w:eastAsia="宋体" w:cs="仿宋"/>
          <w:color w:val="000000"/>
          <w:sz w:val="24"/>
          <w:szCs w:val="24"/>
          <w:u w:val="single"/>
        </w:rPr>
        <w:t xml:space="preserve">                                                          </w:t>
      </w:r>
    </w:p>
    <w:p w14:paraId="3A9CF05B">
      <w:pPr>
        <w:spacing w:line="500" w:lineRule="exact"/>
        <w:rPr>
          <w:rFonts w:ascii="宋体" w:hAnsi="宋体" w:eastAsia="宋体" w:cs="仿宋"/>
          <w:color w:val="000000"/>
          <w:sz w:val="24"/>
          <w:szCs w:val="24"/>
          <w:u w:val="single"/>
        </w:rPr>
      </w:pPr>
      <w:r>
        <w:rPr>
          <w:rFonts w:hint="eastAsia" w:ascii="宋体" w:hAnsi="宋体" w:eastAsia="宋体" w:cs="仿宋"/>
          <w:color w:val="000000"/>
          <w:sz w:val="24"/>
          <w:szCs w:val="24"/>
        </w:rPr>
        <w:t>事实依据：</w:t>
      </w:r>
      <w:r>
        <w:rPr>
          <w:rFonts w:hint="eastAsia" w:ascii="宋体" w:hAnsi="宋体" w:eastAsia="宋体" w:cs="仿宋"/>
          <w:color w:val="000000"/>
          <w:sz w:val="24"/>
          <w:szCs w:val="24"/>
          <w:u w:val="single"/>
        </w:rPr>
        <w:t xml:space="preserve">                                                            </w:t>
      </w:r>
    </w:p>
    <w:p w14:paraId="3CBC9EC0">
      <w:pPr>
        <w:spacing w:line="500" w:lineRule="exact"/>
        <w:rPr>
          <w:rFonts w:ascii="宋体" w:hAnsi="宋体" w:eastAsia="宋体" w:cs="仿宋"/>
          <w:color w:val="000000"/>
          <w:sz w:val="24"/>
          <w:szCs w:val="24"/>
        </w:rPr>
      </w:pPr>
      <w:r>
        <w:rPr>
          <w:rFonts w:hint="eastAsia" w:ascii="宋体" w:hAnsi="宋体" w:eastAsia="宋体" w:cs="仿宋"/>
          <w:color w:val="000000"/>
          <w:sz w:val="24"/>
          <w:szCs w:val="24"/>
          <w:u w:val="single"/>
        </w:rPr>
        <w:t xml:space="preserve">                                                                      </w:t>
      </w:r>
    </w:p>
    <w:p w14:paraId="5D3AE88C">
      <w:pPr>
        <w:spacing w:line="500" w:lineRule="exact"/>
        <w:rPr>
          <w:rFonts w:ascii="宋体" w:hAnsi="宋体" w:eastAsia="宋体" w:cs="仿宋"/>
          <w:color w:val="000000"/>
          <w:sz w:val="24"/>
          <w:szCs w:val="24"/>
          <w:u w:val="single"/>
        </w:rPr>
      </w:pPr>
      <w:r>
        <w:rPr>
          <w:rFonts w:hint="eastAsia" w:ascii="宋体" w:hAnsi="宋体" w:eastAsia="宋体" w:cs="仿宋"/>
          <w:color w:val="000000"/>
          <w:sz w:val="24"/>
          <w:szCs w:val="24"/>
        </w:rPr>
        <w:t>法律依据：</w:t>
      </w:r>
      <w:r>
        <w:rPr>
          <w:rFonts w:hint="eastAsia" w:ascii="宋体" w:hAnsi="宋体" w:eastAsia="宋体" w:cs="仿宋"/>
          <w:color w:val="000000"/>
          <w:sz w:val="24"/>
          <w:szCs w:val="24"/>
          <w:u w:val="single"/>
        </w:rPr>
        <w:t xml:space="preserve">                                                            </w:t>
      </w:r>
    </w:p>
    <w:p w14:paraId="1E978DA8">
      <w:pPr>
        <w:spacing w:line="500" w:lineRule="exact"/>
        <w:rPr>
          <w:rFonts w:ascii="宋体" w:hAnsi="宋体" w:eastAsia="宋体" w:cs="仿宋"/>
          <w:color w:val="000000"/>
          <w:sz w:val="24"/>
          <w:szCs w:val="24"/>
          <w:u w:val="single"/>
        </w:rPr>
      </w:pPr>
      <w:r>
        <w:rPr>
          <w:rFonts w:hint="eastAsia" w:ascii="宋体" w:hAnsi="宋体" w:eastAsia="宋体" w:cs="仿宋"/>
          <w:color w:val="000000"/>
          <w:sz w:val="24"/>
          <w:szCs w:val="24"/>
          <w:u w:val="single"/>
        </w:rPr>
        <w:t xml:space="preserve">                                                                      </w:t>
      </w:r>
    </w:p>
    <w:p w14:paraId="70CC1DAA">
      <w:pPr>
        <w:spacing w:line="500" w:lineRule="exact"/>
        <w:rPr>
          <w:rFonts w:ascii="宋体" w:hAnsi="宋体" w:eastAsia="宋体" w:cs="仿宋"/>
          <w:color w:val="000000"/>
          <w:sz w:val="24"/>
          <w:szCs w:val="24"/>
          <w:u w:val="single"/>
        </w:rPr>
      </w:pPr>
      <w:r>
        <w:rPr>
          <w:rFonts w:hint="eastAsia" w:ascii="宋体" w:hAnsi="宋体" w:eastAsia="宋体" w:cs="仿宋"/>
          <w:color w:val="000000"/>
          <w:sz w:val="24"/>
          <w:szCs w:val="24"/>
        </w:rPr>
        <w:t>质疑事项2</w:t>
      </w:r>
    </w:p>
    <w:p w14:paraId="473BA7A2">
      <w:pPr>
        <w:spacing w:line="500" w:lineRule="exact"/>
        <w:rPr>
          <w:rFonts w:ascii="宋体" w:hAnsi="宋体" w:eastAsia="宋体" w:cs="仿宋"/>
          <w:color w:val="000000"/>
          <w:sz w:val="24"/>
          <w:szCs w:val="24"/>
        </w:rPr>
      </w:pPr>
      <w:r>
        <w:rPr>
          <w:rFonts w:hint="eastAsia" w:ascii="宋体" w:hAnsi="宋体" w:eastAsia="宋体" w:cs="仿宋"/>
          <w:color w:val="000000"/>
          <w:sz w:val="24"/>
          <w:szCs w:val="24"/>
        </w:rPr>
        <w:t>……</w:t>
      </w:r>
    </w:p>
    <w:p w14:paraId="7F8E92A6">
      <w:pPr>
        <w:spacing w:line="500" w:lineRule="exact"/>
        <w:rPr>
          <w:rFonts w:ascii="黑体" w:hAnsi="黑体" w:eastAsia="黑体" w:cs="仿宋"/>
          <w:bCs/>
          <w:color w:val="000000"/>
          <w:sz w:val="24"/>
          <w:szCs w:val="24"/>
        </w:rPr>
      </w:pPr>
      <w:r>
        <w:rPr>
          <w:rFonts w:hint="eastAsia" w:ascii="黑体" w:hAnsi="黑体" w:eastAsia="黑体" w:cs="仿宋"/>
          <w:bCs/>
          <w:color w:val="000000"/>
          <w:sz w:val="24"/>
          <w:szCs w:val="24"/>
        </w:rPr>
        <w:t>四、与质疑事项相关的质疑请求</w:t>
      </w:r>
    </w:p>
    <w:p w14:paraId="1E6F27C6">
      <w:pPr>
        <w:spacing w:line="500" w:lineRule="exact"/>
        <w:rPr>
          <w:rFonts w:ascii="宋体" w:hAnsi="宋体" w:eastAsia="宋体" w:cs="仿宋"/>
          <w:color w:val="000000"/>
          <w:sz w:val="24"/>
          <w:szCs w:val="24"/>
          <w:u w:val="single"/>
        </w:rPr>
      </w:pPr>
      <w:r>
        <w:rPr>
          <w:rFonts w:hint="eastAsia" w:ascii="宋体" w:hAnsi="宋体" w:eastAsia="宋体" w:cs="仿宋"/>
          <w:color w:val="000000"/>
          <w:sz w:val="24"/>
          <w:szCs w:val="24"/>
        </w:rPr>
        <w:t>请求：</w:t>
      </w:r>
      <w:r>
        <w:rPr>
          <w:rFonts w:hint="eastAsia" w:ascii="宋体" w:hAnsi="宋体" w:eastAsia="宋体" w:cs="仿宋"/>
          <w:color w:val="000000"/>
          <w:sz w:val="24"/>
          <w:szCs w:val="24"/>
          <w:u w:val="single"/>
        </w:rPr>
        <w:t xml:space="preserve">                                                                </w:t>
      </w:r>
    </w:p>
    <w:p w14:paraId="61742ACF">
      <w:pPr>
        <w:spacing w:line="50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签字（签章）：                   公章：                      </w:t>
      </w:r>
    </w:p>
    <w:p w14:paraId="272B043C">
      <w:pPr>
        <w:spacing w:line="50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日期：    </w:t>
      </w:r>
    </w:p>
    <w:p w14:paraId="44DD14D3">
      <w:pPr>
        <w:spacing w:line="500" w:lineRule="exact"/>
        <w:rPr>
          <w:rFonts w:ascii="宋体" w:hAnsi="宋体" w:eastAsia="宋体" w:cs="Times New Roman"/>
          <w:b/>
          <w:color w:val="000000"/>
          <w:sz w:val="24"/>
          <w:szCs w:val="24"/>
        </w:rPr>
      </w:pPr>
      <w:r>
        <w:rPr>
          <w:rFonts w:hint="eastAsia" w:ascii="宋体" w:hAnsi="宋体" w:eastAsia="宋体" w:cs="Times New Roman"/>
          <w:b/>
          <w:color w:val="000000"/>
          <w:sz w:val="24"/>
          <w:szCs w:val="24"/>
        </w:rPr>
        <w:t>质疑函制作说明：</w:t>
      </w:r>
    </w:p>
    <w:p w14:paraId="07895A44">
      <w:pPr>
        <w:widowControl/>
        <w:spacing w:line="500" w:lineRule="exact"/>
        <w:ind w:firstLine="48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1.供应商提出质疑时，应提交质疑函和必要的证明材料。</w:t>
      </w:r>
    </w:p>
    <w:p w14:paraId="3629CF1B">
      <w:pPr>
        <w:widowControl/>
        <w:spacing w:line="500" w:lineRule="exact"/>
        <w:ind w:firstLine="48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供应商为自然人的，应当由本人签字；供应商为法人或者其他组织的，应当由法定代表人、主要负责人签字或者盖章，并加盖公章。</w:t>
      </w:r>
    </w:p>
    <w:p w14:paraId="53D7C98A">
      <w:pPr>
        <w:widowControl/>
        <w:spacing w:line="500" w:lineRule="exact"/>
        <w:ind w:firstLine="48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3.质疑供应商若对项目的某一分包进行质疑，质疑函中应列明具体分包号。</w:t>
      </w:r>
    </w:p>
    <w:p w14:paraId="26336C28">
      <w:pPr>
        <w:widowControl/>
        <w:spacing w:line="500" w:lineRule="exact"/>
        <w:ind w:firstLine="48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4.质疑函的质疑事项应具体、明确，并有必要的事实依据和法律依据。</w:t>
      </w:r>
    </w:p>
    <w:p w14:paraId="2BA13EC7">
      <w:pPr>
        <w:widowControl/>
        <w:spacing w:line="500" w:lineRule="exact"/>
        <w:ind w:firstLine="48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5.质疑函的质疑请求应与质疑事项相关。</w:t>
      </w:r>
    </w:p>
    <w:p w14:paraId="2BABE6E1">
      <w:pPr>
        <w:widowControl/>
        <w:spacing w:line="500" w:lineRule="exact"/>
        <w:ind w:firstLine="480"/>
        <w:jc w:val="left"/>
        <w:rPr>
          <w:sz w:val="24"/>
          <w:szCs w:val="24"/>
        </w:rPr>
      </w:pPr>
      <w:r>
        <w:rPr>
          <w:rFonts w:hint="eastAsia" w:ascii="宋体" w:hAnsi="宋体" w:eastAsia="宋体" w:cs="Times New Roman"/>
          <w:b/>
          <w:color w:val="FF0000"/>
          <w:sz w:val="24"/>
          <w:szCs w:val="24"/>
        </w:rPr>
        <w:t>6.质疑供应商为自然人的，质疑函应附自然人身份证明复印件并由本人签字；质疑供应商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sectPr>
      <w:pgSz w:w="11906" w:h="16838"/>
      <w:pgMar w:top="850" w:right="850" w:bottom="850" w:left="85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新宋体">
    <w:panose1 w:val="02010609030101010101"/>
    <w:charset w:val="86"/>
    <w:family w:val="modern"/>
    <w:pitch w:val="default"/>
    <w:sig w:usb0="00000203" w:usb1="288F0000" w:usb2="0000000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2CE1F">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AD80F35">
                          <w:pPr>
                            <w:pStyle w:val="26"/>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5&#10;uc8AAAAFAQAADwAAAAAAAAABACAAAAAiAAAAZHJzL2Rvd25yZXYueG1sUEsBAhQAFAAAAAgAh07i&#10;QBwhFJ3yAQAAAwQAAA4AAAAAAAAAAQAgAAAAHgEAAGRycy9lMm9Eb2MueG1sUEsFBgAAAAAGAAYA&#10;WQEAAIIFAAAAAA==&#10;">
              <v:fill on="f" focussize="0,0"/>
              <v:stroke on="f"/>
              <v:imagedata o:title=""/>
              <o:lock v:ext="edit" aspectratio="f"/>
              <v:textbox inset="0mm,0mm,0mm,0mm" style="mso-fit-shape-to-text:t;">
                <w:txbxContent>
                  <w:p w14:paraId="7AD80F35">
                    <w:pPr>
                      <w:pStyle w:val="26"/>
                    </w:pPr>
                    <w:r>
                      <w:fldChar w:fldCharType="begin"/>
                    </w:r>
                    <w:r>
                      <w:instrText xml:space="preserve"> PAGE  \* MERGEFORMAT </w:instrText>
                    </w:r>
                    <w:r>
                      <w:fldChar w:fldCharType="separate"/>
                    </w:r>
                    <w:r>
                      <w:t>2</w:t>
                    </w:r>
                    <w:r>
                      <w:fldChar w:fldCharType="end"/>
                    </w:r>
                  </w:p>
                </w:txbxContent>
              </v:textbox>
            </v:shape>
          </w:pict>
        </mc:Fallback>
      </mc:AlternateContent>
    </w:r>
  </w:p>
  <w:p w14:paraId="57D80A27">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ABF1D">
    <w:pPr>
      <w:pStyle w:val="26"/>
      <w:jc w:val="center"/>
    </w:pPr>
    <w:r>
      <mc:AlternateContent>
        <mc:Choice Requires="wps">
          <w:drawing>
            <wp:anchor distT="0" distB="0" distL="114300" distR="114300" simplePos="0" relativeHeight="251660288" behindDoc="0" locked="0" layoutInCell="1" allowOverlap="1">
              <wp:simplePos x="0" y="0"/>
              <wp:positionH relativeFrom="margin">
                <wp:posOffset>2948305</wp:posOffset>
              </wp:positionH>
              <wp:positionV relativeFrom="paragraph">
                <wp:posOffset>66675</wp:posOffset>
              </wp:positionV>
              <wp:extent cx="234950" cy="302260"/>
              <wp:effectExtent l="6350" t="6350" r="6350" b="635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35260" cy="302307"/>
                      </a:xfrm>
                      <a:prstGeom prst="rect">
                        <a:avLst/>
                      </a:prstGeom>
                      <a:noFill/>
                      <a:ln>
                        <a:noFill/>
                      </a:ln>
                    </wps:spPr>
                    <wps:txbx>
                      <w:txbxContent>
                        <w:sdt>
                          <w:sdtPr>
                            <w:id w:val="147477945"/>
                          </w:sdtPr>
                          <w:sdtContent>
                            <w:p w14:paraId="5A1F1FB6">
                              <w:pPr>
                                <w:pStyle w:val="26"/>
                                <w:jc w:val="center"/>
                              </w:pPr>
                              <w:r>
                                <w:fldChar w:fldCharType="begin"/>
                              </w:r>
                              <w:r>
                                <w:instrText xml:space="preserve"> PAGE   \* MERGEFORMAT </w:instrText>
                              </w:r>
                              <w:r>
                                <w:fldChar w:fldCharType="separate"/>
                              </w:r>
                              <w:r>
                                <w:rPr>
                                  <w:lang w:val="zh-CN"/>
                                </w:rPr>
                                <w:t>29</w:t>
                              </w:r>
                              <w:r>
                                <w:rPr>
                                  <w:lang w:val="zh-CN"/>
                                </w:rPr>
                                <w:fldChar w:fldCharType="end"/>
                              </w:r>
                            </w:p>
                          </w:sdtContent>
                        </w:sdt>
                        <w:p w14:paraId="73482E50"/>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32.15pt;margin-top:5.25pt;height:23.8pt;width:18.5pt;mso-position-horizontal-relative:margin;z-index:251660288;mso-width-relative:page;mso-height-relative:page;" filled="f" stroked="f" coordsize="21600,21600" o:gfxdata="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z7l8NcAAAAJAQAADwAAAAAAAAABACAAAAAiAAAAZHJzL2Rvd25yZXYu&#10;eG1sUEsBAhQAFAAAAAgAh07iQMuZxmb8AQAAAwQAAA4AAAAAAAAAAQAgAAAAJgEAAGRycy9lMm9E&#10;b2MueG1sUEsFBgAAAAAGAAYAWQEAAJQFAAAAAA==&#10;">
              <v:fill on="f" focussize="0,0"/>
              <v:stroke on="f"/>
              <v:imagedata o:title=""/>
              <o:lock v:ext="edit" aspectratio="f"/>
              <v:textbox inset="0mm,0mm,0mm,0mm">
                <w:txbxContent>
                  <w:sdt>
                    <w:sdtPr>
                      <w:id w:val="147477945"/>
                    </w:sdtPr>
                    <w:sdtContent>
                      <w:p w14:paraId="5A1F1FB6">
                        <w:pPr>
                          <w:pStyle w:val="26"/>
                          <w:jc w:val="center"/>
                        </w:pPr>
                        <w:r>
                          <w:fldChar w:fldCharType="begin"/>
                        </w:r>
                        <w:r>
                          <w:instrText xml:space="preserve"> PAGE   \* MERGEFORMAT </w:instrText>
                        </w:r>
                        <w:r>
                          <w:fldChar w:fldCharType="separate"/>
                        </w:r>
                        <w:r>
                          <w:rPr>
                            <w:lang w:val="zh-CN"/>
                          </w:rPr>
                          <w:t>29</w:t>
                        </w:r>
                        <w:r>
                          <w:rPr>
                            <w:lang w:val="zh-CN"/>
                          </w:rPr>
                          <w:fldChar w:fldCharType="end"/>
                        </w:r>
                      </w:p>
                    </w:sdtContent>
                  </w:sdt>
                  <w:p w14:paraId="73482E50"/>
                </w:txbxContent>
              </v:textbox>
            </v:shape>
          </w:pict>
        </mc:Fallback>
      </mc:AlternateContent>
    </w:r>
  </w:p>
  <w:p w14:paraId="670C8FBE">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3F72EC"/>
    <w:multiLevelType w:val="singleLevel"/>
    <w:tmpl w:val="F83F72EC"/>
    <w:lvl w:ilvl="0" w:tentative="0">
      <w:start w:val="2"/>
      <w:numFmt w:val="chineseCounting"/>
      <w:suff w:val="nothing"/>
      <w:lvlText w:val="%1、"/>
      <w:lvlJc w:val="left"/>
      <w:rPr>
        <w:rFonts w:hint="eastAsia"/>
      </w:rPr>
    </w:lvl>
  </w:abstractNum>
  <w:abstractNum w:abstractNumId="1">
    <w:nsid w:val="5479996D"/>
    <w:multiLevelType w:val="multilevel"/>
    <w:tmpl w:val="5479996D"/>
    <w:lvl w:ilvl="0" w:tentative="0">
      <w:start w:val="2"/>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FB2"/>
    <w:rsid w:val="00032807"/>
    <w:rsid w:val="000B291F"/>
    <w:rsid w:val="000C7CC4"/>
    <w:rsid w:val="00116D1E"/>
    <w:rsid w:val="00177539"/>
    <w:rsid w:val="002124FC"/>
    <w:rsid w:val="002130D8"/>
    <w:rsid w:val="0023231B"/>
    <w:rsid w:val="003E194D"/>
    <w:rsid w:val="00413A8A"/>
    <w:rsid w:val="00421669"/>
    <w:rsid w:val="00474779"/>
    <w:rsid w:val="004A45E9"/>
    <w:rsid w:val="004D190F"/>
    <w:rsid w:val="004E3181"/>
    <w:rsid w:val="006A778A"/>
    <w:rsid w:val="006C417F"/>
    <w:rsid w:val="007042C5"/>
    <w:rsid w:val="0073615B"/>
    <w:rsid w:val="007B0152"/>
    <w:rsid w:val="00870FEE"/>
    <w:rsid w:val="009205BA"/>
    <w:rsid w:val="009B63C4"/>
    <w:rsid w:val="00AD1E71"/>
    <w:rsid w:val="00B3257F"/>
    <w:rsid w:val="00BF5B70"/>
    <w:rsid w:val="00C43288"/>
    <w:rsid w:val="00C9512D"/>
    <w:rsid w:val="00C96FB2"/>
    <w:rsid w:val="00D8681E"/>
    <w:rsid w:val="00E977FF"/>
    <w:rsid w:val="00F70366"/>
    <w:rsid w:val="01DB688D"/>
    <w:rsid w:val="027305E3"/>
    <w:rsid w:val="04FE63B4"/>
    <w:rsid w:val="069D0E61"/>
    <w:rsid w:val="0E1409F6"/>
    <w:rsid w:val="105B45EA"/>
    <w:rsid w:val="10703EDE"/>
    <w:rsid w:val="140432BB"/>
    <w:rsid w:val="1DC1221D"/>
    <w:rsid w:val="1F284271"/>
    <w:rsid w:val="1F51412B"/>
    <w:rsid w:val="21117017"/>
    <w:rsid w:val="21537630"/>
    <w:rsid w:val="21C72816"/>
    <w:rsid w:val="21C851CE"/>
    <w:rsid w:val="23CD61CB"/>
    <w:rsid w:val="24305FD3"/>
    <w:rsid w:val="24F51113"/>
    <w:rsid w:val="260D5FFF"/>
    <w:rsid w:val="26FE596D"/>
    <w:rsid w:val="275D4834"/>
    <w:rsid w:val="27A5710F"/>
    <w:rsid w:val="28803518"/>
    <w:rsid w:val="2A3A79AC"/>
    <w:rsid w:val="2B91024B"/>
    <w:rsid w:val="2C8A260C"/>
    <w:rsid w:val="2DED6716"/>
    <w:rsid w:val="2E2C1632"/>
    <w:rsid w:val="2F083808"/>
    <w:rsid w:val="305863B0"/>
    <w:rsid w:val="31DC0F7C"/>
    <w:rsid w:val="32601BAD"/>
    <w:rsid w:val="35507CB7"/>
    <w:rsid w:val="36A13281"/>
    <w:rsid w:val="3782216C"/>
    <w:rsid w:val="39237EB6"/>
    <w:rsid w:val="3BDA55AD"/>
    <w:rsid w:val="3CE9755E"/>
    <w:rsid w:val="3E3D2DA2"/>
    <w:rsid w:val="406E7B8B"/>
    <w:rsid w:val="41FB73E8"/>
    <w:rsid w:val="44730CE1"/>
    <w:rsid w:val="45BC7854"/>
    <w:rsid w:val="47E726FC"/>
    <w:rsid w:val="487E1379"/>
    <w:rsid w:val="488D12CD"/>
    <w:rsid w:val="4B3D7953"/>
    <w:rsid w:val="4C005E2A"/>
    <w:rsid w:val="4C4212E8"/>
    <w:rsid w:val="50874A7C"/>
    <w:rsid w:val="518E3B5A"/>
    <w:rsid w:val="52F63BD0"/>
    <w:rsid w:val="53270251"/>
    <w:rsid w:val="59A952E7"/>
    <w:rsid w:val="5B932559"/>
    <w:rsid w:val="5C12515A"/>
    <w:rsid w:val="5E2D5E54"/>
    <w:rsid w:val="5E2F405E"/>
    <w:rsid w:val="63B95B16"/>
    <w:rsid w:val="64234F32"/>
    <w:rsid w:val="65314B5F"/>
    <w:rsid w:val="69412772"/>
    <w:rsid w:val="69944279"/>
    <w:rsid w:val="6B0E4C1D"/>
    <w:rsid w:val="6BF204D1"/>
    <w:rsid w:val="73A951DB"/>
    <w:rsid w:val="7A4727A3"/>
    <w:rsid w:val="7BC02843"/>
    <w:rsid w:val="7D493CEC"/>
    <w:rsid w:val="7EC9718C"/>
    <w:rsid w:val="7FB96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link w:val="200"/>
    <w:qFormat/>
    <w:uiPriority w:val="9"/>
    <w:pPr>
      <w:keepNext/>
      <w:keepLines/>
      <w:spacing w:before="340" w:after="330" w:line="578" w:lineRule="auto"/>
      <w:outlineLvl w:val="0"/>
    </w:pPr>
    <w:rPr>
      <w:b/>
      <w:bCs/>
      <w:sz w:val="44"/>
      <w:szCs w:val="44"/>
    </w:rPr>
  </w:style>
  <w:style w:type="paragraph" w:styleId="3">
    <w:name w:val="heading 2"/>
    <w:basedOn w:val="1"/>
    <w:next w:val="1"/>
    <w:link w:val="20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4"/>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55"/>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56"/>
    <w:unhideWhenUsed/>
    <w:qFormat/>
    <w:uiPriority w:val="9"/>
    <w:pPr>
      <w:keepNext/>
      <w:keepLines/>
      <w:spacing w:before="320" w:after="200"/>
      <w:outlineLvl w:val="5"/>
    </w:pPr>
    <w:rPr>
      <w:rFonts w:ascii="Arial" w:hAnsi="Arial" w:eastAsia="Arial" w:cs="Arial"/>
      <w:b/>
      <w:bCs/>
      <w:sz w:val="22"/>
    </w:rPr>
  </w:style>
  <w:style w:type="paragraph" w:styleId="8">
    <w:name w:val="heading 7"/>
    <w:basedOn w:val="1"/>
    <w:next w:val="1"/>
    <w:link w:val="57"/>
    <w:unhideWhenUsed/>
    <w:qFormat/>
    <w:uiPriority w:val="9"/>
    <w:pPr>
      <w:keepNext/>
      <w:keepLines/>
      <w:spacing w:before="320" w:after="200"/>
      <w:outlineLvl w:val="6"/>
    </w:pPr>
    <w:rPr>
      <w:rFonts w:ascii="Arial" w:hAnsi="Arial" w:eastAsia="Arial" w:cs="Arial"/>
      <w:b/>
      <w:bCs/>
      <w:i/>
      <w:iCs/>
      <w:sz w:val="22"/>
    </w:rPr>
  </w:style>
  <w:style w:type="paragraph" w:styleId="9">
    <w:name w:val="heading 8"/>
    <w:basedOn w:val="1"/>
    <w:next w:val="1"/>
    <w:link w:val="58"/>
    <w:unhideWhenUsed/>
    <w:qFormat/>
    <w:uiPriority w:val="9"/>
    <w:pPr>
      <w:keepNext/>
      <w:keepLines/>
      <w:spacing w:before="320" w:after="200"/>
      <w:outlineLvl w:val="7"/>
    </w:pPr>
    <w:rPr>
      <w:rFonts w:ascii="Arial" w:hAnsi="Arial" w:eastAsia="Arial" w:cs="Arial"/>
      <w:i/>
      <w:iCs/>
      <w:sz w:val="22"/>
    </w:rPr>
  </w:style>
  <w:style w:type="paragraph" w:styleId="10">
    <w:name w:val="heading 9"/>
    <w:basedOn w:val="1"/>
    <w:next w:val="1"/>
    <w:link w:val="59"/>
    <w:unhideWhenUsed/>
    <w:qFormat/>
    <w:uiPriority w:val="9"/>
    <w:pPr>
      <w:keepNext/>
      <w:keepLines/>
      <w:spacing w:before="320" w:after="200"/>
      <w:outlineLvl w:val="8"/>
    </w:pPr>
    <w:rPr>
      <w:rFonts w:ascii="Arial" w:hAnsi="Arial" w:eastAsia="Arial" w:cs="Arial"/>
      <w:i/>
      <w:iCs/>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Normal Indent"/>
    <w:basedOn w:val="1"/>
    <w:qFormat/>
    <w:uiPriority w:val="99"/>
    <w:pPr>
      <w:ind w:firstLine="420"/>
    </w:pPr>
    <w:rPr>
      <w:sz w:val="24"/>
      <w:szCs w:val="20"/>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Document Map"/>
    <w:basedOn w:val="1"/>
    <w:link w:val="201"/>
    <w:semiHidden/>
    <w:unhideWhenUsed/>
    <w:qFormat/>
    <w:uiPriority w:val="99"/>
    <w:rPr>
      <w:rFonts w:ascii="宋体" w:eastAsia="宋体"/>
      <w:sz w:val="18"/>
      <w:szCs w:val="18"/>
    </w:rPr>
  </w:style>
  <w:style w:type="paragraph" w:styleId="15">
    <w:name w:val="annotation text"/>
    <w:basedOn w:val="1"/>
    <w:link w:val="205"/>
    <w:qFormat/>
    <w:uiPriority w:val="0"/>
    <w:pPr>
      <w:spacing w:line="360" w:lineRule="auto"/>
      <w:ind w:firstLine="922"/>
      <w:jc w:val="left"/>
    </w:pPr>
    <w:rPr>
      <w:rFonts w:ascii="Times New Roman" w:hAnsi="Times New Roman" w:eastAsia="宋体" w:cs="Times New Roman"/>
      <w:szCs w:val="24"/>
    </w:rPr>
  </w:style>
  <w:style w:type="paragraph" w:styleId="16">
    <w:name w:val="Body Text"/>
    <w:basedOn w:val="1"/>
    <w:next w:val="1"/>
    <w:unhideWhenUsed/>
    <w:qFormat/>
    <w:uiPriority w:val="99"/>
    <w:pPr>
      <w:spacing w:after="120"/>
    </w:pPr>
  </w:style>
  <w:style w:type="paragraph" w:styleId="17">
    <w:name w:val="Body Text Indent"/>
    <w:basedOn w:val="1"/>
    <w:next w:val="18"/>
    <w:qFormat/>
    <w:uiPriority w:val="99"/>
    <w:pPr>
      <w:spacing w:after="120"/>
      <w:ind w:left="420"/>
    </w:pPr>
  </w:style>
  <w:style w:type="paragraph" w:styleId="18">
    <w:name w:val="envelope return"/>
    <w:basedOn w:val="1"/>
    <w:unhideWhenUsed/>
    <w:qFormat/>
    <w:uiPriority w:val="99"/>
    <w:rPr>
      <w:rFonts w:ascii="Arial" w:hAnsi="Arial"/>
    </w:rPr>
  </w:style>
  <w:style w:type="paragraph" w:styleId="19">
    <w:name w:val="toc 5"/>
    <w:basedOn w:val="1"/>
    <w:next w:val="1"/>
    <w:unhideWhenUsed/>
    <w:qFormat/>
    <w:uiPriority w:val="39"/>
    <w:pPr>
      <w:spacing w:after="57"/>
      <w:ind w:left="1134"/>
    </w:pPr>
  </w:style>
  <w:style w:type="paragraph" w:styleId="20">
    <w:name w:val="toc 3"/>
    <w:basedOn w:val="1"/>
    <w:next w:val="1"/>
    <w:unhideWhenUsed/>
    <w:qFormat/>
    <w:uiPriority w:val="39"/>
    <w:pPr>
      <w:spacing w:after="57"/>
      <w:ind w:left="567"/>
    </w:pPr>
  </w:style>
  <w:style w:type="paragraph" w:styleId="21">
    <w:name w:val="Plain Text"/>
    <w:basedOn w:val="1"/>
    <w:link w:val="208"/>
    <w:qFormat/>
    <w:uiPriority w:val="0"/>
    <w:rPr>
      <w:rFonts w:ascii="宋体" w:hAnsi="Courier New" w:eastAsia="宋体" w:cs="Times New Roman"/>
      <w:szCs w:val="20"/>
    </w:rPr>
  </w:style>
  <w:style w:type="paragraph" w:styleId="22">
    <w:name w:val="toc 8"/>
    <w:basedOn w:val="1"/>
    <w:next w:val="1"/>
    <w:unhideWhenUsed/>
    <w:qFormat/>
    <w:uiPriority w:val="39"/>
    <w:pPr>
      <w:spacing w:after="57"/>
      <w:ind w:left="1984"/>
    </w:pPr>
  </w:style>
  <w:style w:type="paragraph" w:styleId="23">
    <w:name w:val="Date"/>
    <w:basedOn w:val="1"/>
    <w:next w:val="1"/>
    <w:link w:val="204"/>
    <w:semiHidden/>
    <w:unhideWhenUsed/>
    <w:qFormat/>
    <w:uiPriority w:val="99"/>
    <w:pPr>
      <w:ind w:left="100"/>
    </w:pPr>
  </w:style>
  <w:style w:type="paragraph" w:styleId="24">
    <w:name w:val="endnote text"/>
    <w:basedOn w:val="1"/>
    <w:link w:val="196"/>
    <w:semiHidden/>
    <w:unhideWhenUsed/>
    <w:qFormat/>
    <w:uiPriority w:val="99"/>
    <w:rPr>
      <w:sz w:val="20"/>
    </w:rPr>
  </w:style>
  <w:style w:type="paragraph" w:styleId="25">
    <w:name w:val="Balloon Text"/>
    <w:basedOn w:val="1"/>
    <w:link w:val="206"/>
    <w:semiHidden/>
    <w:unhideWhenUsed/>
    <w:qFormat/>
    <w:uiPriority w:val="99"/>
    <w:rPr>
      <w:sz w:val="18"/>
      <w:szCs w:val="18"/>
    </w:rPr>
  </w:style>
  <w:style w:type="paragraph" w:styleId="26">
    <w:name w:val="footer"/>
    <w:basedOn w:val="1"/>
    <w:link w:val="199"/>
    <w:unhideWhenUsed/>
    <w:qFormat/>
    <w:uiPriority w:val="99"/>
    <w:pPr>
      <w:tabs>
        <w:tab w:val="center" w:pos="4153"/>
        <w:tab w:val="right" w:pos="8306"/>
      </w:tabs>
      <w:jc w:val="left"/>
    </w:pPr>
    <w:rPr>
      <w:sz w:val="18"/>
      <w:szCs w:val="18"/>
    </w:rPr>
  </w:style>
  <w:style w:type="paragraph" w:styleId="27">
    <w:name w:val="header"/>
    <w:basedOn w:val="1"/>
    <w:link w:val="198"/>
    <w:unhideWhenUsed/>
    <w:qFormat/>
    <w:uiPriority w:val="99"/>
    <w:pPr>
      <w:pBdr>
        <w:bottom w:val="single" w:color="auto" w:sz="6" w:space="1"/>
      </w:pBdr>
      <w:tabs>
        <w:tab w:val="center" w:pos="4153"/>
        <w:tab w:val="right" w:pos="8306"/>
      </w:tabs>
      <w:jc w:val="center"/>
    </w:pPr>
    <w:rPr>
      <w:sz w:val="18"/>
      <w:szCs w:val="18"/>
    </w:rPr>
  </w:style>
  <w:style w:type="paragraph" w:styleId="28">
    <w:name w:val="toc 1"/>
    <w:basedOn w:val="1"/>
    <w:next w:val="1"/>
    <w:unhideWhenUsed/>
    <w:qFormat/>
    <w:uiPriority w:val="39"/>
    <w:pPr>
      <w:tabs>
        <w:tab w:val="right" w:leader="dot" w:pos="8296"/>
      </w:tabs>
      <w:jc w:val="center"/>
    </w:pPr>
    <w:rPr>
      <w:rFonts w:ascii="黑体" w:hAnsi="黑体" w:eastAsia="黑体"/>
      <w:sz w:val="36"/>
      <w:szCs w:val="32"/>
    </w:rPr>
  </w:style>
  <w:style w:type="paragraph" w:styleId="29">
    <w:name w:val="toc 4"/>
    <w:basedOn w:val="1"/>
    <w:next w:val="1"/>
    <w:unhideWhenUsed/>
    <w:qFormat/>
    <w:uiPriority w:val="39"/>
    <w:pPr>
      <w:spacing w:after="57"/>
      <w:ind w:left="850"/>
    </w:pPr>
  </w:style>
  <w:style w:type="paragraph" w:styleId="30">
    <w:name w:val="Subtitle"/>
    <w:basedOn w:val="1"/>
    <w:next w:val="1"/>
    <w:link w:val="62"/>
    <w:qFormat/>
    <w:uiPriority w:val="11"/>
    <w:pPr>
      <w:spacing w:before="200" w:after="200"/>
    </w:pPr>
    <w:rPr>
      <w:sz w:val="24"/>
      <w:szCs w:val="24"/>
    </w:rPr>
  </w:style>
  <w:style w:type="paragraph" w:styleId="31">
    <w:name w:val="footnote text"/>
    <w:basedOn w:val="1"/>
    <w:link w:val="195"/>
    <w:semiHidden/>
    <w:unhideWhenUsed/>
    <w:qFormat/>
    <w:uiPriority w:val="99"/>
    <w:pPr>
      <w:spacing w:after="40"/>
    </w:pPr>
    <w:rPr>
      <w:sz w:val="18"/>
    </w:rPr>
  </w:style>
  <w:style w:type="paragraph" w:styleId="32">
    <w:name w:val="toc 6"/>
    <w:basedOn w:val="1"/>
    <w:next w:val="1"/>
    <w:unhideWhenUsed/>
    <w:qFormat/>
    <w:uiPriority w:val="39"/>
    <w:pPr>
      <w:spacing w:after="57"/>
      <w:ind w:left="1417"/>
    </w:pPr>
  </w:style>
  <w:style w:type="paragraph" w:styleId="33">
    <w:name w:val="table of figures"/>
    <w:basedOn w:val="1"/>
    <w:next w:val="1"/>
    <w:unhideWhenUsed/>
    <w:qFormat/>
    <w:uiPriority w:val="99"/>
  </w:style>
  <w:style w:type="paragraph" w:styleId="34">
    <w:name w:val="toc 2"/>
    <w:basedOn w:val="1"/>
    <w:next w:val="1"/>
    <w:qFormat/>
    <w:uiPriority w:val="39"/>
    <w:pPr>
      <w:tabs>
        <w:tab w:val="right" w:leader="dot" w:pos="9060"/>
      </w:tabs>
    </w:pPr>
    <w:rPr>
      <w:rFonts w:ascii="宋体" w:hAnsi="宋体"/>
      <w:b/>
      <w:bCs/>
    </w:rPr>
  </w:style>
  <w:style w:type="paragraph" w:styleId="35">
    <w:name w:val="toc 9"/>
    <w:basedOn w:val="1"/>
    <w:next w:val="1"/>
    <w:unhideWhenUsed/>
    <w:qFormat/>
    <w:uiPriority w:val="39"/>
    <w:pPr>
      <w:spacing w:after="57"/>
      <w:ind w:left="2268"/>
    </w:pPr>
  </w:style>
  <w:style w:type="paragraph" w:styleId="36">
    <w:name w:val="Body Text 2"/>
    <w:qFormat/>
    <w:uiPriority w:val="0"/>
    <w:pPr>
      <w:widowControl w:val="0"/>
      <w:jc w:val="center"/>
    </w:pPr>
    <w:rPr>
      <w:rFonts w:ascii="仿宋_GB2312" w:hAnsi="Times New Roman" w:eastAsia="仿宋_GB2312" w:cs="Times New Roman"/>
      <w:kern w:val="2"/>
      <w:sz w:val="44"/>
      <w:szCs w:val="24"/>
      <w:lang w:val="en-US" w:eastAsia="zh-CN" w:bidi="ar-SA"/>
    </w:rPr>
  </w:style>
  <w:style w:type="paragraph" w:styleId="3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sz w:val="20"/>
      <w:szCs w:val="20"/>
    </w:rPr>
  </w:style>
  <w:style w:type="paragraph" w:styleId="38">
    <w:name w:val="Normal (Web)"/>
    <w:basedOn w:val="1"/>
    <w:qFormat/>
    <w:uiPriority w:val="0"/>
    <w:pPr>
      <w:spacing w:beforeAutospacing="1" w:afterAutospacing="1"/>
      <w:jc w:val="left"/>
    </w:pPr>
    <w:rPr>
      <w:rFonts w:cs="Times New Roman"/>
      <w:sz w:val="24"/>
    </w:rPr>
  </w:style>
  <w:style w:type="paragraph" w:styleId="39">
    <w:name w:val="Title"/>
    <w:basedOn w:val="1"/>
    <w:next w:val="1"/>
    <w:link w:val="61"/>
    <w:qFormat/>
    <w:uiPriority w:val="10"/>
    <w:pPr>
      <w:spacing w:before="300" w:after="200"/>
      <w:contextualSpacing/>
    </w:pPr>
    <w:rPr>
      <w:sz w:val="48"/>
      <w:szCs w:val="48"/>
    </w:rPr>
  </w:style>
  <w:style w:type="paragraph" w:styleId="40">
    <w:name w:val="annotation subject"/>
    <w:basedOn w:val="15"/>
    <w:next w:val="15"/>
    <w:link w:val="214"/>
    <w:semiHidden/>
    <w:unhideWhenUsed/>
    <w:qFormat/>
    <w:uiPriority w:val="99"/>
    <w:pPr>
      <w:spacing w:line="240" w:lineRule="auto"/>
      <w:ind w:firstLine="0"/>
    </w:pPr>
    <w:rPr>
      <w:rFonts w:asciiTheme="minorHAnsi" w:hAnsiTheme="minorHAnsi" w:eastAsiaTheme="minorEastAsia" w:cstheme="minorBidi"/>
      <w:b/>
      <w:bCs/>
      <w:szCs w:val="22"/>
    </w:rPr>
  </w:style>
  <w:style w:type="paragraph" w:styleId="41">
    <w:name w:val="Body Text First Indent"/>
    <w:qFormat/>
    <w:uiPriority w:val="0"/>
    <w:pPr>
      <w:widowControl w:val="0"/>
      <w:spacing w:beforeLines="50" w:after="0" w:line="360" w:lineRule="auto"/>
      <w:ind w:firstLine="480"/>
      <w:jc w:val="both"/>
    </w:pPr>
    <w:rPr>
      <w:rFonts w:ascii="Times New Roman" w:hAnsi="Times New Roman" w:eastAsia="宋体" w:cs="Times New Roman"/>
      <w:kern w:val="2"/>
      <w:sz w:val="28"/>
      <w:szCs w:val="24"/>
      <w:lang w:val="en-US" w:eastAsia="zh-CN" w:bidi="ar-SA"/>
    </w:rPr>
  </w:style>
  <w:style w:type="paragraph" w:styleId="42">
    <w:name w:val="Body Text First Indent 2"/>
    <w:basedOn w:val="17"/>
    <w:qFormat/>
    <w:uiPriority w:val="99"/>
    <w:pPr>
      <w:ind w:firstLine="420"/>
    </w:pPr>
  </w:style>
  <w:style w:type="table" w:styleId="44">
    <w:name w:val="Table Grid"/>
    <w:basedOn w:val="4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endnote reference"/>
    <w:basedOn w:val="45"/>
    <w:semiHidden/>
    <w:unhideWhenUsed/>
    <w:qFormat/>
    <w:uiPriority w:val="99"/>
    <w:rPr>
      <w:vertAlign w:val="superscript"/>
    </w:rPr>
  </w:style>
  <w:style w:type="character" w:styleId="47">
    <w:name w:val="Hyperlink"/>
    <w:qFormat/>
    <w:uiPriority w:val="99"/>
    <w:rPr>
      <w:color w:val="0000FF"/>
      <w:u w:val="none"/>
    </w:rPr>
  </w:style>
  <w:style w:type="character" w:styleId="48">
    <w:name w:val="annotation reference"/>
    <w:qFormat/>
    <w:uiPriority w:val="0"/>
    <w:rPr>
      <w:sz w:val="21"/>
      <w:szCs w:val="21"/>
    </w:rPr>
  </w:style>
  <w:style w:type="character" w:styleId="49">
    <w:name w:val="footnote reference"/>
    <w:basedOn w:val="45"/>
    <w:unhideWhenUsed/>
    <w:qFormat/>
    <w:uiPriority w:val="99"/>
    <w:rPr>
      <w:vertAlign w:val="superscript"/>
    </w:rPr>
  </w:style>
  <w:style w:type="paragraph" w:customStyle="1" w:styleId="50">
    <w:name w:val="Default"/>
    <w:link w:val="207"/>
    <w:qFormat/>
    <w:uiPriority w:val="99"/>
    <w:pPr>
      <w:widowControl w:val="0"/>
    </w:pPr>
    <w:rPr>
      <w:rFonts w:ascii="MS Mincho" w:hAnsi="Calibri" w:eastAsia="宋体" w:cs="Times New Roman"/>
      <w:color w:val="000000"/>
      <w:sz w:val="21"/>
      <w:szCs w:val="24"/>
      <w:lang w:val="en-US" w:eastAsia="zh-CN" w:bidi="ar-SA"/>
    </w:rPr>
  </w:style>
  <w:style w:type="character" w:customStyle="1" w:styleId="51">
    <w:name w:val="Heading 1 Char"/>
    <w:basedOn w:val="45"/>
    <w:qFormat/>
    <w:uiPriority w:val="9"/>
    <w:rPr>
      <w:rFonts w:ascii="Arial" w:hAnsi="Arial" w:eastAsia="Arial" w:cs="Arial"/>
      <w:sz w:val="40"/>
      <w:szCs w:val="40"/>
    </w:rPr>
  </w:style>
  <w:style w:type="character" w:customStyle="1" w:styleId="52">
    <w:name w:val="Heading 2 Char"/>
    <w:basedOn w:val="45"/>
    <w:qFormat/>
    <w:uiPriority w:val="9"/>
    <w:rPr>
      <w:rFonts w:ascii="Arial" w:hAnsi="Arial" w:eastAsia="Arial" w:cs="Arial"/>
      <w:sz w:val="34"/>
    </w:rPr>
  </w:style>
  <w:style w:type="character" w:customStyle="1" w:styleId="53">
    <w:name w:val="Heading 3 Char"/>
    <w:basedOn w:val="45"/>
    <w:qFormat/>
    <w:uiPriority w:val="9"/>
    <w:rPr>
      <w:rFonts w:ascii="Arial" w:hAnsi="Arial" w:eastAsia="Arial" w:cs="Arial"/>
      <w:sz w:val="30"/>
      <w:szCs w:val="30"/>
    </w:rPr>
  </w:style>
  <w:style w:type="character" w:customStyle="1" w:styleId="54">
    <w:name w:val="标题 4 Char"/>
    <w:basedOn w:val="45"/>
    <w:link w:val="5"/>
    <w:qFormat/>
    <w:uiPriority w:val="9"/>
    <w:rPr>
      <w:rFonts w:ascii="Arial" w:hAnsi="Arial" w:eastAsia="Arial" w:cs="Arial"/>
      <w:b/>
      <w:bCs/>
      <w:sz w:val="26"/>
      <w:szCs w:val="26"/>
    </w:rPr>
  </w:style>
  <w:style w:type="character" w:customStyle="1" w:styleId="55">
    <w:name w:val="标题 5 Char"/>
    <w:basedOn w:val="45"/>
    <w:link w:val="6"/>
    <w:qFormat/>
    <w:uiPriority w:val="9"/>
    <w:rPr>
      <w:rFonts w:ascii="Arial" w:hAnsi="Arial" w:eastAsia="Arial" w:cs="Arial"/>
      <w:b/>
      <w:bCs/>
      <w:sz w:val="24"/>
      <w:szCs w:val="24"/>
    </w:rPr>
  </w:style>
  <w:style w:type="character" w:customStyle="1" w:styleId="56">
    <w:name w:val="标题 6 Char"/>
    <w:basedOn w:val="45"/>
    <w:link w:val="7"/>
    <w:qFormat/>
    <w:uiPriority w:val="9"/>
    <w:rPr>
      <w:rFonts w:ascii="Arial" w:hAnsi="Arial" w:eastAsia="Arial" w:cs="Arial"/>
      <w:b/>
      <w:bCs/>
      <w:sz w:val="22"/>
      <w:szCs w:val="22"/>
    </w:rPr>
  </w:style>
  <w:style w:type="character" w:customStyle="1" w:styleId="57">
    <w:name w:val="标题 7 Char"/>
    <w:basedOn w:val="45"/>
    <w:link w:val="8"/>
    <w:qFormat/>
    <w:uiPriority w:val="9"/>
    <w:rPr>
      <w:rFonts w:ascii="Arial" w:hAnsi="Arial" w:eastAsia="Arial" w:cs="Arial"/>
      <w:b/>
      <w:bCs/>
      <w:i/>
      <w:iCs/>
      <w:sz w:val="22"/>
      <w:szCs w:val="22"/>
    </w:rPr>
  </w:style>
  <w:style w:type="character" w:customStyle="1" w:styleId="58">
    <w:name w:val="标题 8 Char"/>
    <w:basedOn w:val="45"/>
    <w:link w:val="9"/>
    <w:qFormat/>
    <w:uiPriority w:val="9"/>
    <w:rPr>
      <w:rFonts w:ascii="Arial" w:hAnsi="Arial" w:eastAsia="Arial" w:cs="Arial"/>
      <w:i/>
      <w:iCs/>
      <w:sz w:val="22"/>
      <w:szCs w:val="22"/>
    </w:rPr>
  </w:style>
  <w:style w:type="character" w:customStyle="1" w:styleId="59">
    <w:name w:val="标题 9 Char"/>
    <w:basedOn w:val="45"/>
    <w:link w:val="10"/>
    <w:qFormat/>
    <w:uiPriority w:val="9"/>
    <w:rPr>
      <w:rFonts w:ascii="Arial" w:hAnsi="Arial" w:eastAsia="Arial" w:cs="Arial"/>
      <w:i/>
      <w:iCs/>
      <w:sz w:val="21"/>
      <w:szCs w:val="21"/>
    </w:rPr>
  </w:style>
  <w:style w:type="paragraph" w:styleId="60">
    <w:name w:val="No Spacing"/>
    <w:qFormat/>
    <w:uiPriority w:val="1"/>
    <w:rPr>
      <w:rFonts w:ascii="Times New Roman" w:hAnsi="Times New Roman" w:eastAsia="宋体" w:cs="Times New Roman"/>
      <w:lang w:val="en-US" w:eastAsia="zh-CN" w:bidi="ar-SA"/>
    </w:rPr>
  </w:style>
  <w:style w:type="character" w:customStyle="1" w:styleId="61">
    <w:name w:val="标题 Char"/>
    <w:basedOn w:val="45"/>
    <w:link w:val="39"/>
    <w:qFormat/>
    <w:uiPriority w:val="10"/>
    <w:rPr>
      <w:sz w:val="48"/>
      <w:szCs w:val="48"/>
    </w:rPr>
  </w:style>
  <w:style w:type="character" w:customStyle="1" w:styleId="62">
    <w:name w:val="副标题 Char"/>
    <w:basedOn w:val="45"/>
    <w:link w:val="30"/>
    <w:qFormat/>
    <w:uiPriority w:val="11"/>
    <w:rPr>
      <w:sz w:val="24"/>
      <w:szCs w:val="24"/>
    </w:rPr>
  </w:style>
  <w:style w:type="paragraph" w:styleId="63">
    <w:name w:val="Quote"/>
    <w:basedOn w:val="1"/>
    <w:next w:val="1"/>
    <w:link w:val="64"/>
    <w:qFormat/>
    <w:uiPriority w:val="29"/>
    <w:pPr>
      <w:ind w:left="720" w:right="720"/>
    </w:pPr>
    <w:rPr>
      <w:i/>
    </w:rPr>
  </w:style>
  <w:style w:type="character" w:customStyle="1" w:styleId="64">
    <w:name w:val="引用 Char"/>
    <w:link w:val="63"/>
    <w:qFormat/>
    <w:uiPriority w:val="29"/>
    <w:rPr>
      <w:i/>
    </w:rPr>
  </w:style>
  <w:style w:type="paragraph" w:styleId="65">
    <w:name w:val="Intense Quote"/>
    <w:basedOn w:val="1"/>
    <w:next w:val="1"/>
    <w:link w:val="6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6">
    <w:name w:val="明显引用 Char"/>
    <w:link w:val="65"/>
    <w:qFormat/>
    <w:uiPriority w:val="30"/>
    <w:rPr>
      <w:i/>
    </w:rPr>
  </w:style>
  <w:style w:type="character" w:customStyle="1" w:styleId="67">
    <w:name w:val="Header Char"/>
    <w:basedOn w:val="45"/>
    <w:qFormat/>
    <w:uiPriority w:val="99"/>
  </w:style>
  <w:style w:type="character" w:customStyle="1" w:styleId="68">
    <w:name w:val="Footer Char"/>
    <w:basedOn w:val="45"/>
    <w:qFormat/>
    <w:uiPriority w:val="99"/>
  </w:style>
  <w:style w:type="character" w:customStyle="1" w:styleId="69">
    <w:name w:val="Caption Char"/>
    <w:qFormat/>
    <w:uiPriority w:val="99"/>
  </w:style>
  <w:style w:type="table" w:customStyle="1" w:styleId="70">
    <w:name w:val="Table Grid Light"/>
    <w:basedOn w:val="4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71">
    <w:name w:val="无格式表格 11"/>
    <w:basedOn w:val="4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2">
    <w:name w:val="无格式表格 21"/>
    <w:basedOn w:val="43"/>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3">
    <w:name w:val="无格式表格 31"/>
    <w:basedOn w:val="43"/>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4">
    <w:name w:val="无格式表格 41"/>
    <w:basedOn w:val="43"/>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5">
    <w:name w:val="无格式表格 51"/>
    <w:basedOn w:val="43"/>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网格表 1 浅色1"/>
    <w:basedOn w:val="43"/>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7">
    <w:name w:val="Grid Table 1 Light - Accent 1"/>
    <w:basedOn w:val="43"/>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8">
    <w:name w:val="Grid Table 1 Light - Accent 2"/>
    <w:basedOn w:val="43"/>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9">
    <w:name w:val="Grid Table 1 Light - Accent 3"/>
    <w:basedOn w:val="4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0">
    <w:name w:val="Grid Table 1 Light - Accent 4"/>
    <w:basedOn w:val="43"/>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1">
    <w:name w:val="Grid Table 1 Light - Accent 5"/>
    <w:basedOn w:val="43"/>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2">
    <w:name w:val="Grid Table 1 Light - Accent 6"/>
    <w:basedOn w:val="43"/>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3">
    <w:name w:val="网格表 21"/>
    <w:basedOn w:val="4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2 - Accent 1"/>
    <w:basedOn w:val="43"/>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5">
    <w:name w:val="Grid Table 2 - Accent 2"/>
    <w:basedOn w:val="43"/>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2 - Accent 3"/>
    <w:basedOn w:val="4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2 - Accent 4"/>
    <w:basedOn w:val="43"/>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2 - Accent 5"/>
    <w:basedOn w:val="43"/>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2 - Accent 6"/>
    <w:basedOn w:val="43"/>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网格表 31"/>
    <w:basedOn w:val="4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3 - Accent 1"/>
    <w:basedOn w:val="43"/>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2">
    <w:name w:val="Grid Table 3 - Accent 2"/>
    <w:basedOn w:val="43"/>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3">
    <w:name w:val="Grid Table 3 - Accent 3"/>
    <w:basedOn w:val="4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4">
    <w:name w:val="Grid Table 3 - Accent 4"/>
    <w:basedOn w:val="43"/>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5">
    <w:name w:val="Grid Table 3 - Accent 5"/>
    <w:basedOn w:val="43"/>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6">
    <w:name w:val="Grid Table 3 - Accent 6"/>
    <w:basedOn w:val="43"/>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7">
    <w:name w:val="网格表 41"/>
    <w:basedOn w:val="43"/>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8">
    <w:name w:val="Grid Table 4 - Accent 1"/>
    <w:basedOn w:val="43"/>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9">
    <w:name w:val="Grid Table 4 - Accent 2"/>
    <w:basedOn w:val="43"/>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0">
    <w:name w:val="Grid Table 4 - Accent 3"/>
    <w:basedOn w:val="4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1">
    <w:name w:val="Grid Table 4 - Accent 4"/>
    <w:basedOn w:val="43"/>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2">
    <w:name w:val="Grid Table 4 - Accent 5"/>
    <w:basedOn w:val="43"/>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3">
    <w:name w:val="Grid Table 4 - Accent 6"/>
    <w:basedOn w:val="43"/>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4">
    <w:name w:val="网格表 5 深色1"/>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5">
    <w:name w:val="Grid Table 5 Dark- Accent 1"/>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6">
    <w:name w:val="Grid Table 5 Dark - Accent 2"/>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7">
    <w:name w:val="Grid Table 5 Dark - Accent 3"/>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8">
    <w:name w:val="Grid Table 5 Dark- Accent 4"/>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9">
    <w:name w:val="Grid Table 5 Dark - Accent 5"/>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0">
    <w:name w:val="Grid Table 5 Dark - Accent 6"/>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1">
    <w:name w:val="网格表 6 彩色1"/>
    <w:basedOn w:val="43"/>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2">
    <w:name w:val="Grid Table 6 Colorful - Accent 1"/>
    <w:basedOn w:val="43"/>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3">
    <w:name w:val="Grid Table 6 Colorful - Accent 2"/>
    <w:basedOn w:val="43"/>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4">
    <w:name w:val="Grid Table 6 Colorful - Accent 3"/>
    <w:basedOn w:val="4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5">
    <w:name w:val="Grid Table 6 Colorful - Accent 4"/>
    <w:basedOn w:val="43"/>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6">
    <w:name w:val="Grid Table 6 Colorful - Accent 5"/>
    <w:basedOn w:val="43"/>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7">
    <w:name w:val="Grid Table 6 Colorful - Accent 6"/>
    <w:basedOn w:val="43"/>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8">
    <w:name w:val="网格表 7 彩色1"/>
    <w:basedOn w:val="43"/>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9">
    <w:name w:val="Grid Table 7 Colorful - Accent 1"/>
    <w:basedOn w:val="43"/>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0">
    <w:name w:val="Grid Table 7 Colorful - Accent 2"/>
    <w:basedOn w:val="43"/>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1">
    <w:name w:val="Grid Table 7 Colorful - Accent 3"/>
    <w:basedOn w:val="4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2">
    <w:name w:val="Grid Table 7 Colorful - Accent 4"/>
    <w:basedOn w:val="43"/>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3">
    <w:name w:val="Grid Table 7 Colorful - Accent 5"/>
    <w:basedOn w:val="43"/>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4">
    <w:name w:val="Grid Table 7 Colorful - Accent 6"/>
    <w:basedOn w:val="43"/>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5">
    <w:name w:val="清单表 1 浅色1"/>
    <w:basedOn w:val="43"/>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6">
    <w:name w:val="List Table 1 Light - Accent 1"/>
    <w:basedOn w:val="43"/>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7">
    <w:name w:val="List Table 1 Light - Accent 2"/>
    <w:basedOn w:val="43"/>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8">
    <w:name w:val="List Table 1 Light - Accent 3"/>
    <w:basedOn w:val="43"/>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9">
    <w:name w:val="List Table 1 Light - Accent 4"/>
    <w:basedOn w:val="43"/>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0">
    <w:name w:val="List Table 1 Light - Accent 5"/>
    <w:basedOn w:val="43"/>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1">
    <w:name w:val="List Table 1 Light - Accent 6"/>
    <w:basedOn w:val="43"/>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2">
    <w:name w:val="清单表 21"/>
    <w:basedOn w:val="43"/>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2 - Accent 1"/>
    <w:basedOn w:val="43"/>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4">
    <w:name w:val="List Table 2 - Accent 2"/>
    <w:basedOn w:val="43"/>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5">
    <w:name w:val="List Table 2 - Accent 3"/>
    <w:basedOn w:val="4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6">
    <w:name w:val="List Table 2 - Accent 4"/>
    <w:basedOn w:val="43"/>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7">
    <w:name w:val="List Table 2 - Accent 5"/>
    <w:basedOn w:val="43"/>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8">
    <w:name w:val="List Table 2 - Accent 6"/>
    <w:basedOn w:val="43"/>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9">
    <w:name w:val="清单表 31"/>
    <w:basedOn w:val="4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0">
    <w:name w:val="List Table 3 - Accent 1"/>
    <w:basedOn w:val="43"/>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1">
    <w:name w:val="List Table 3 - Accent 2"/>
    <w:basedOn w:val="43"/>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2">
    <w:name w:val="List Table 3 - Accent 3"/>
    <w:basedOn w:val="4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3">
    <w:name w:val="List Table 3 - Accent 4"/>
    <w:basedOn w:val="43"/>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4">
    <w:name w:val="List Table 3 - Accent 5"/>
    <w:basedOn w:val="43"/>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5">
    <w:name w:val="List Table 3 - Accent 6"/>
    <w:basedOn w:val="43"/>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6">
    <w:name w:val="清单表 41"/>
    <w:basedOn w:val="4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7">
    <w:name w:val="List Table 4 - Accent 1"/>
    <w:basedOn w:val="43"/>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8">
    <w:name w:val="List Table 4 - Accent 2"/>
    <w:basedOn w:val="43"/>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9">
    <w:name w:val="List Table 4 - Accent 3"/>
    <w:basedOn w:val="4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0">
    <w:name w:val="List Table 4 - Accent 4"/>
    <w:basedOn w:val="43"/>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1">
    <w:name w:val="List Table 4 - Accent 5"/>
    <w:basedOn w:val="43"/>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2">
    <w:name w:val="List Table 4 - Accent 6"/>
    <w:basedOn w:val="43"/>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3">
    <w:name w:val="清单表 5 深色1"/>
    <w:basedOn w:val="43"/>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4">
    <w:name w:val="List Table 5 Dark - Accent 1"/>
    <w:basedOn w:val="43"/>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5">
    <w:name w:val="List Table 5 Dark - Accent 2"/>
    <w:basedOn w:val="43"/>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6">
    <w:name w:val="List Table 5 Dark - Accent 3"/>
    <w:basedOn w:val="4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7">
    <w:name w:val="List Table 5 Dark - Accent 4"/>
    <w:basedOn w:val="43"/>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8">
    <w:name w:val="List Table 5 Dark - Accent 5"/>
    <w:basedOn w:val="43"/>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9">
    <w:name w:val="List Table 5 Dark - Accent 6"/>
    <w:basedOn w:val="43"/>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0">
    <w:name w:val="清单表 6 彩色1"/>
    <w:basedOn w:val="43"/>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1">
    <w:name w:val="List Table 6 Colorful - Accent 1"/>
    <w:basedOn w:val="43"/>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2">
    <w:name w:val="List Table 6 Colorful - Accent 2"/>
    <w:basedOn w:val="43"/>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3">
    <w:name w:val="List Table 6 Colorful - Accent 3"/>
    <w:basedOn w:val="43"/>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4">
    <w:name w:val="List Table 6 Colorful - Accent 4"/>
    <w:basedOn w:val="43"/>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5">
    <w:name w:val="List Table 6 Colorful - Accent 5"/>
    <w:basedOn w:val="43"/>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6">
    <w:name w:val="List Table 6 Colorful - Accent 6"/>
    <w:basedOn w:val="43"/>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7">
    <w:name w:val="清单表 7 彩色1"/>
    <w:basedOn w:val="43"/>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8">
    <w:name w:val="List Table 7 Colorful - Accent 1"/>
    <w:basedOn w:val="43"/>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9">
    <w:name w:val="List Table 7 Colorful - Accent 2"/>
    <w:basedOn w:val="43"/>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0">
    <w:name w:val="List Table 7 Colorful - Accent 3"/>
    <w:basedOn w:val="43"/>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1">
    <w:name w:val="List Table 7 Colorful - Accent 4"/>
    <w:basedOn w:val="43"/>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2">
    <w:name w:val="List Table 7 Colorful - Accent 5"/>
    <w:basedOn w:val="43"/>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3">
    <w:name w:val="List Table 7 Colorful - Accent 6"/>
    <w:basedOn w:val="43"/>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4">
    <w:name w:val="Lined - Accent"/>
    <w:basedOn w:val="43"/>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5">
    <w:name w:val="Lined - Accent 1"/>
    <w:basedOn w:val="43"/>
    <w:qFormat/>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6">
    <w:name w:val="Lined - Accent 2"/>
    <w:basedOn w:val="43"/>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7">
    <w:name w:val="Lined - Accent 3"/>
    <w:basedOn w:val="43"/>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8">
    <w:name w:val="Lined - Accent 4"/>
    <w:basedOn w:val="43"/>
    <w:qFormat/>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9">
    <w:name w:val="Lined - Accent 5"/>
    <w:basedOn w:val="43"/>
    <w:qFormat/>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0">
    <w:name w:val="Lined - Accent 6"/>
    <w:basedOn w:val="43"/>
    <w:qFormat/>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1">
    <w:name w:val="Bordered &amp; Lined - Accent"/>
    <w:basedOn w:val="43"/>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2">
    <w:name w:val="Bordered &amp; Lined - Accent 1"/>
    <w:basedOn w:val="43"/>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3">
    <w:name w:val="Bordered &amp; Lined - Accent 2"/>
    <w:basedOn w:val="43"/>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4">
    <w:name w:val="Bordered &amp; Lined - Accent 3"/>
    <w:basedOn w:val="4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5">
    <w:name w:val="Bordered &amp; Lined - Accent 4"/>
    <w:basedOn w:val="43"/>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6">
    <w:name w:val="Bordered &amp; Lined - Accent 5"/>
    <w:basedOn w:val="43"/>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7">
    <w:name w:val="Bordered &amp; Lined - Accent 6"/>
    <w:basedOn w:val="43"/>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8">
    <w:name w:val="Bordered"/>
    <w:basedOn w:val="43"/>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9">
    <w:name w:val="Bordered - Accent 1"/>
    <w:basedOn w:val="43"/>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0">
    <w:name w:val="Bordered - Accent 2"/>
    <w:basedOn w:val="43"/>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1">
    <w:name w:val="Bordered - Accent 3"/>
    <w:basedOn w:val="4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2">
    <w:name w:val="Bordered - Accent 4"/>
    <w:basedOn w:val="43"/>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3">
    <w:name w:val="Bordered - Accent 5"/>
    <w:basedOn w:val="43"/>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4">
    <w:name w:val="Bordered - Accent 6"/>
    <w:basedOn w:val="43"/>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5">
    <w:name w:val="脚注文本 Char"/>
    <w:link w:val="31"/>
    <w:qFormat/>
    <w:uiPriority w:val="99"/>
    <w:rPr>
      <w:sz w:val="18"/>
    </w:rPr>
  </w:style>
  <w:style w:type="character" w:customStyle="1" w:styleId="196">
    <w:name w:val="尾注文本 Char"/>
    <w:link w:val="24"/>
    <w:qFormat/>
    <w:uiPriority w:val="99"/>
    <w:rPr>
      <w:sz w:val="20"/>
    </w:rPr>
  </w:style>
  <w:style w:type="paragraph" w:customStyle="1" w:styleId="197">
    <w:name w:val="TOC 标题1"/>
    <w:unhideWhenUsed/>
    <w:qFormat/>
    <w:uiPriority w:val="39"/>
    <w:rPr>
      <w:rFonts w:ascii="Times New Roman" w:hAnsi="Times New Roman" w:eastAsia="宋体" w:cs="Times New Roman"/>
      <w:lang w:val="en-US" w:eastAsia="zh-CN" w:bidi="ar-SA"/>
    </w:rPr>
  </w:style>
  <w:style w:type="character" w:customStyle="1" w:styleId="198">
    <w:name w:val="页眉 Char"/>
    <w:basedOn w:val="45"/>
    <w:link w:val="27"/>
    <w:qFormat/>
    <w:uiPriority w:val="99"/>
    <w:rPr>
      <w:sz w:val="18"/>
      <w:szCs w:val="18"/>
    </w:rPr>
  </w:style>
  <w:style w:type="character" w:customStyle="1" w:styleId="199">
    <w:name w:val="页脚 Char"/>
    <w:basedOn w:val="45"/>
    <w:link w:val="26"/>
    <w:qFormat/>
    <w:uiPriority w:val="99"/>
    <w:rPr>
      <w:sz w:val="18"/>
      <w:szCs w:val="18"/>
    </w:rPr>
  </w:style>
  <w:style w:type="character" w:customStyle="1" w:styleId="200">
    <w:name w:val="标题 1 Char"/>
    <w:basedOn w:val="45"/>
    <w:link w:val="2"/>
    <w:qFormat/>
    <w:uiPriority w:val="9"/>
    <w:rPr>
      <w:b/>
      <w:bCs/>
      <w:sz w:val="44"/>
      <w:szCs w:val="44"/>
    </w:rPr>
  </w:style>
  <w:style w:type="character" w:customStyle="1" w:styleId="201">
    <w:name w:val="文档结构图 Char"/>
    <w:basedOn w:val="45"/>
    <w:link w:val="14"/>
    <w:semiHidden/>
    <w:qFormat/>
    <w:uiPriority w:val="99"/>
    <w:rPr>
      <w:rFonts w:ascii="宋体" w:eastAsia="宋体"/>
      <w:sz w:val="18"/>
      <w:szCs w:val="18"/>
    </w:rPr>
  </w:style>
  <w:style w:type="character" w:customStyle="1" w:styleId="202">
    <w:name w:val="标题 2 Char"/>
    <w:basedOn w:val="45"/>
    <w:link w:val="3"/>
    <w:qFormat/>
    <w:uiPriority w:val="9"/>
    <w:rPr>
      <w:rFonts w:asciiTheme="majorHAnsi" w:hAnsiTheme="majorHAnsi" w:eastAsiaTheme="majorEastAsia" w:cstheme="majorBidi"/>
      <w:b/>
      <w:bCs/>
      <w:sz w:val="32"/>
      <w:szCs w:val="32"/>
    </w:rPr>
  </w:style>
  <w:style w:type="character" w:customStyle="1" w:styleId="203">
    <w:name w:val="标题 3 Char"/>
    <w:basedOn w:val="45"/>
    <w:link w:val="4"/>
    <w:qFormat/>
    <w:uiPriority w:val="9"/>
    <w:rPr>
      <w:b/>
      <w:bCs/>
      <w:sz w:val="32"/>
      <w:szCs w:val="32"/>
    </w:rPr>
  </w:style>
  <w:style w:type="character" w:customStyle="1" w:styleId="204">
    <w:name w:val="日期 Char"/>
    <w:basedOn w:val="45"/>
    <w:link w:val="23"/>
    <w:semiHidden/>
    <w:qFormat/>
    <w:uiPriority w:val="99"/>
  </w:style>
  <w:style w:type="character" w:customStyle="1" w:styleId="205">
    <w:name w:val="批注文字 Char"/>
    <w:basedOn w:val="45"/>
    <w:link w:val="15"/>
    <w:qFormat/>
    <w:uiPriority w:val="0"/>
    <w:rPr>
      <w:rFonts w:ascii="Times New Roman" w:hAnsi="Times New Roman" w:eastAsia="宋体" w:cs="Times New Roman"/>
      <w:szCs w:val="24"/>
    </w:rPr>
  </w:style>
  <w:style w:type="character" w:customStyle="1" w:styleId="206">
    <w:name w:val="批注框文本 Char"/>
    <w:basedOn w:val="45"/>
    <w:link w:val="25"/>
    <w:semiHidden/>
    <w:qFormat/>
    <w:uiPriority w:val="99"/>
    <w:rPr>
      <w:sz w:val="18"/>
      <w:szCs w:val="18"/>
    </w:rPr>
  </w:style>
  <w:style w:type="character" w:customStyle="1" w:styleId="207">
    <w:name w:val="Default Char"/>
    <w:link w:val="50"/>
    <w:qFormat/>
    <w:uiPriority w:val="99"/>
    <w:rPr>
      <w:rFonts w:ascii="MS Mincho" w:hAnsi="Calibri" w:eastAsia="宋体" w:cs="Times New Roman"/>
      <w:color w:val="000000"/>
      <w:szCs w:val="24"/>
    </w:rPr>
  </w:style>
  <w:style w:type="character" w:customStyle="1" w:styleId="208">
    <w:name w:val="纯文本 Char"/>
    <w:basedOn w:val="45"/>
    <w:link w:val="21"/>
    <w:qFormat/>
    <w:uiPriority w:val="0"/>
    <w:rPr>
      <w:rFonts w:ascii="宋体" w:hAnsi="Courier New" w:eastAsia="宋体" w:cs="Times New Roman"/>
      <w:szCs w:val="20"/>
    </w:rPr>
  </w:style>
  <w:style w:type="paragraph" w:styleId="209">
    <w:name w:val="List Paragraph"/>
    <w:basedOn w:val="1"/>
    <w:qFormat/>
    <w:uiPriority w:val="34"/>
    <w:pPr>
      <w:ind w:left="720"/>
      <w:contextualSpacing/>
    </w:pPr>
  </w:style>
  <w:style w:type="paragraph" w:customStyle="1" w:styleId="210">
    <w:name w:val="普通正文"/>
    <w:basedOn w:val="1"/>
    <w:qFormat/>
    <w:uiPriority w:val="0"/>
    <w:pPr>
      <w:spacing w:before="120" w:after="120" w:line="360" w:lineRule="auto"/>
      <w:ind w:firstLine="480"/>
      <w:jc w:val="left"/>
    </w:pPr>
    <w:rPr>
      <w:rFonts w:ascii="Arial" w:hAnsi="Arial" w:cs="Times New Roman"/>
      <w:sz w:val="24"/>
      <w:szCs w:val="24"/>
    </w:rPr>
  </w:style>
  <w:style w:type="paragraph" w:customStyle="1" w:styleId="211">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sz w:val="20"/>
      <w:szCs w:val="20"/>
    </w:rPr>
  </w:style>
  <w:style w:type="paragraph" w:customStyle="1" w:styleId="212">
    <w:name w:val="Table Paragraph"/>
    <w:basedOn w:val="1"/>
    <w:qFormat/>
    <w:uiPriority w:val="1"/>
    <w:rPr>
      <w:rFonts w:ascii="宋体" w:hAnsi="宋体" w:cs="宋体"/>
      <w:lang w:val="zh-CN" w:bidi="zh-CN"/>
    </w:rPr>
  </w:style>
  <w:style w:type="paragraph" w:customStyle="1" w:styleId="213">
    <w:name w:val="正文1"/>
    <w:basedOn w:val="12"/>
    <w:qFormat/>
    <w:uiPriority w:val="99"/>
    <w:pPr>
      <w:spacing w:line="500" w:lineRule="exact"/>
      <w:ind w:firstLine="480"/>
    </w:pPr>
    <w:rPr>
      <w:rFonts w:hAnsi="新宋体"/>
      <w:color w:val="FF0000"/>
    </w:rPr>
  </w:style>
  <w:style w:type="character" w:customStyle="1" w:styleId="214">
    <w:name w:val="批注主题 Char"/>
    <w:basedOn w:val="205"/>
    <w:link w:val="40"/>
    <w:semiHidden/>
    <w:qFormat/>
    <w:uiPriority w:val="99"/>
    <w:rPr>
      <w:rFonts w:asciiTheme="minorHAnsi" w:hAnsiTheme="minorHAnsi" w:eastAsiaTheme="minorEastAsia" w:cstheme="minorBidi"/>
      <w:b/>
      <w:bCs/>
      <w:sz w:val="21"/>
      <w:szCs w:val="22"/>
    </w:rPr>
  </w:style>
  <w:style w:type="paragraph" w:customStyle="1" w:styleId="215">
    <w:name w:val="列表段落1"/>
    <w:basedOn w:val="1"/>
    <w:qFormat/>
    <w:uiPriority w:val="34"/>
    <w:pPr>
      <w:ind w:firstLine="420" w:firstLineChars="200"/>
    </w:pPr>
  </w:style>
  <w:style w:type="paragraph" w:customStyle="1" w:styleId="216">
    <w:name w:val="批注文字1"/>
    <w:basedOn w:val="1"/>
    <w:qFormat/>
    <w:uiPriority w:val="0"/>
    <w:pPr>
      <w:spacing w:line="360" w:lineRule="auto"/>
      <w:ind w:firstLine="922"/>
      <w:jc w:val="left"/>
    </w:pPr>
    <w:rPr>
      <w:rFonts w:ascii="Times New Roman" w:hAnsi="Times New Roman"/>
      <w:sz w:val="20"/>
      <w:szCs w:val="24"/>
      <w:lang w:eastAsia="en-US"/>
    </w:rPr>
  </w:style>
  <w:style w:type="paragraph" w:customStyle="1" w:styleId="217">
    <w:name w:val="Table Text"/>
    <w:basedOn w:val="1"/>
    <w:semiHidden/>
    <w:qFormat/>
    <w:uiPriority w:val="0"/>
    <w:rPr>
      <w:rFonts w:ascii="宋体" w:hAnsi="宋体" w:eastAsia="宋体" w:cs="宋体"/>
      <w:sz w:val="23"/>
      <w:szCs w:val="23"/>
      <w:lang w:val="en-US" w:eastAsia="en-US" w:bidi="ar-SA"/>
    </w:rPr>
  </w:style>
  <w:style w:type="table" w:customStyle="1" w:styleId="218">
    <w:name w:val="Table Normal"/>
    <w:semiHidden/>
    <w:unhideWhenUsed/>
    <w:qFormat/>
    <w:uiPriority w:val="0"/>
    <w:tblPr>
      <w:tblCellMar>
        <w:top w:w="0" w:type="dxa"/>
        <w:left w:w="0" w:type="dxa"/>
        <w:bottom w:w="0" w:type="dxa"/>
        <w:right w:w="0" w:type="dxa"/>
      </w:tblCellMar>
    </w:tblPr>
  </w:style>
  <w:style w:type="paragraph" w:customStyle="1" w:styleId="219">
    <w:name w:val="_Style 12"/>
    <w:next w:val="41"/>
    <w:qFormat/>
    <w:uiPriority w:val="0"/>
    <w:pPr>
      <w:widowControl w:val="0"/>
      <w:spacing w:beforeLines="50" w:line="360" w:lineRule="auto"/>
      <w:ind w:firstLine="480"/>
      <w:jc w:val="both"/>
    </w:pPr>
    <w:rPr>
      <w:rFonts w:ascii="Times New Roman" w:hAnsi="Times New Roman" w:eastAsia="宋体" w:cs="Times New Roman"/>
      <w:kern w:val="2"/>
      <w:sz w:val="28"/>
      <w:szCs w:val="24"/>
      <w:lang w:val="en-US" w:eastAsia="zh-CN" w:bidi="ar-SA"/>
    </w:rPr>
  </w:style>
  <w:style w:type="character" w:customStyle="1" w:styleId="220">
    <w:name w:val="font21"/>
    <w:qFormat/>
    <w:uiPriority w:val="0"/>
    <w:rPr>
      <w:rFonts w:hint="eastAsia" w:ascii="宋体" w:hAnsi="宋体" w:eastAsia="宋体" w:cs="宋体"/>
      <w:color w:val="000000"/>
      <w:sz w:val="22"/>
      <w:szCs w:val="22"/>
      <w:u w:val="none"/>
    </w:rPr>
  </w:style>
  <w:style w:type="character" w:customStyle="1" w:styleId="221">
    <w:name w:val="font11"/>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13592</Words>
  <Characters>14276</Characters>
  <Lines>205</Lines>
  <Paragraphs>57</Paragraphs>
  <TotalTime>16</TotalTime>
  <ScaleCrop>false</ScaleCrop>
  <LinksUpToDate>false</LinksUpToDate>
  <CharactersWithSpaces>14455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“苏采云”竞争性磋商服务范本</cp:category>
  <dcterms:created xsi:type="dcterms:W3CDTF">2025-06-10T02:24:00Z</dcterms:created>
  <dc:creator>连云港市公共资源交易中心</dc:creator>
  <dc:description>2024年4月16日修订</dc:description>
  <cp:lastModifiedBy>六月</cp:lastModifiedBy>
  <dcterms:modified xsi:type="dcterms:W3CDTF">2025-11-20T08:28:06Z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eyJoZGlkIjoiNGY0NzM5MjNkZjY0YjMyZmFhOTVkMTM3MTdmNzFmMWUiLCJ1c2VySWQiOiIxMDA5MDUwNTQyIn0=</vt:lpwstr>
  </property>
  <property fmtid="{D5CDD505-2E9C-101B-9397-08002B2CF9AE}" pid="3" name="KSOProductBuildVer">
    <vt:lpwstr>2052-12.1.0.23542</vt:lpwstr>
  </property>
  <property fmtid="{D5CDD505-2E9C-101B-9397-08002B2CF9AE}" pid="4" name="ICV">
    <vt:lpwstr>326FC3D288684092B64ED33882802D7A_13</vt:lpwstr>
  </property>
</Properties>
</file>