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EB" w:rsidRDefault="00B65DEB" w:rsidP="00B65DEB">
      <w:pPr>
        <w:pStyle w:val="1"/>
        <w:widowControl/>
        <w:shd w:val="clear" w:color="auto" w:fill="FFFFFF"/>
        <w:spacing w:before="0" w:after="0" w:line="600" w:lineRule="exact"/>
        <w:ind w:firstLine="0"/>
        <w:jc w:val="left"/>
        <w:rPr>
          <w:rFonts w:ascii="黑体" w:eastAsia="黑体" w:hAnsi="黑体" w:hint="eastAsia"/>
          <w:b w:val="0"/>
          <w:sz w:val="32"/>
          <w:szCs w:val="32"/>
        </w:rPr>
      </w:pPr>
      <w:r>
        <w:rPr>
          <w:rFonts w:ascii="黑体" w:eastAsia="黑体" w:hAnsi="黑体" w:hint="eastAsia"/>
          <w:b w:val="0"/>
          <w:sz w:val="32"/>
          <w:szCs w:val="32"/>
        </w:rPr>
        <w:t>附件</w:t>
      </w:r>
    </w:p>
    <w:p w:rsidR="00B65DEB" w:rsidRDefault="00B65DEB" w:rsidP="00B65DEB">
      <w:pPr>
        <w:pStyle w:val="1"/>
        <w:widowControl/>
        <w:shd w:val="clear" w:color="auto" w:fill="FFFFFF"/>
        <w:spacing w:before="0" w:after="0" w:line="600" w:lineRule="exact"/>
        <w:ind w:firstLine="0"/>
        <w:jc w:val="center"/>
        <w:rPr>
          <w:rFonts w:ascii="宋体" w:eastAsia="方正小标宋_GBK" w:hAnsi="宋体"/>
          <w:b w:val="0"/>
          <w:kern w:val="0"/>
        </w:rPr>
      </w:pPr>
      <w:r>
        <w:rPr>
          <w:rFonts w:ascii="宋体" w:eastAsia="方正小标宋_GBK" w:hAnsi="宋体"/>
          <w:b w:val="0"/>
          <w:kern w:val="0"/>
        </w:rPr>
        <w:t>关于深化专项信用报告替代有无违法违规</w:t>
      </w:r>
    </w:p>
    <w:p w:rsidR="00B65DEB" w:rsidRDefault="00B65DEB" w:rsidP="00B65DEB">
      <w:pPr>
        <w:widowControl/>
        <w:shd w:val="clear" w:color="auto" w:fill="FFFFFF"/>
        <w:autoSpaceDE/>
        <w:autoSpaceDN/>
        <w:snapToGrid/>
        <w:spacing w:line="600" w:lineRule="exact"/>
        <w:ind w:firstLine="0"/>
        <w:jc w:val="center"/>
        <w:outlineLvl w:val="0"/>
        <w:rPr>
          <w:rFonts w:ascii="宋体" w:eastAsia="方正小标宋_GBK" w:hAnsi="宋体"/>
          <w:bCs/>
          <w:kern w:val="0"/>
          <w:sz w:val="44"/>
          <w:szCs w:val="44"/>
        </w:rPr>
      </w:pPr>
      <w:r>
        <w:rPr>
          <w:rFonts w:ascii="宋体" w:eastAsia="方正小标宋_GBK" w:hAnsi="宋体"/>
          <w:bCs/>
          <w:kern w:val="0"/>
          <w:sz w:val="44"/>
          <w:szCs w:val="44"/>
        </w:rPr>
        <w:t>记录证明</w:t>
      </w:r>
      <w:bookmarkStart w:id="0" w:name="_GoBack"/>
      <w:bookmarkEnd w:id="0"/>
      <w:r>
        <w:rPr>
          <w:rFonts w:ascii="宋体" w:eastAsia="方正小标宋_GBK" w:hAnsi="宋体"/>
          <w:bCs/>
          <w:kern w:val="0"/>
          <w:sz w:val="44"/>
          <w:szCs w:val="44"/>
        </w:rPr>
        <w:t>工作的通知</w:t>
      </w:r>
    </w:p>
    <w:p w:rsidR="00B65DEB" w:rsidRDefault="00B65DEB" w:rsidP="00B65DEB">
      <w:pPr>
        <w:widowControl/>
        <w:shd w:val="clear" w:color="auto" w:fill="FFFFFF"/>
        <w:autoSpaceDE/>
        <w:autoSpaceDN/>
        <w:snapToGrid/>
        <w:spacing w:line="600" w:lineRule="exact"/>
        <w:ind w:firstLine="0"/>
        <w:jc w:val="left"/>
        <w:outlineLvl w:val="0"/>
        <w:rPr>
          <w:rFonts w:ascii="宋体" w:eastAsia="方正小标宋_GBK" w:hAnsi="宋体"/>
          <w:b/>
          <w:bCs/>
          <w:kern w:val="0"/>
          <w:sz w:val="44"/>
          <w:szCs w:val="44"/>
        </w:rPr>
      </w:pP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bCs/>
          <w:kern w:val="0"/>
          <w:szCs w:val="32"/>
        </w:rPr>
        <w:t>为</w:t>
      </w:r>
      <w:r>
        <w:rPr>
          <w:rFonts w:eastAsia="仿宋_GB2312" w:hint="eastAsia"/>
          <w:bCs/>
          <w:kern w:val="0"/>
          <w:szCs w:val="32"/>
        </w:rPr>
        <w:t>推进信用报告深度应用，充分发挥信用建设对优化营商环境的支撑作用，根据《国家发展改革委、公安部、国家数据局关于全面推行以专项信用报告替代有无违法违规记录证明的通知》（</w:t>
      </w:r>
      <w:proofErr w:type="gramStart"/>
      <w:r>
        <w:rPr>
          <w:rFonts w:eastAsia="仿宋_GB2312" w:hint="eastAsia"/>
          <w:bCs/>
          <w:kern w:val="0"/>
          <w:szCs w:val="32"/>
        </w:rPr>
        <w:t>发改财金</w:t>
      </w:r>
      <w:proofErr w:type="gramEnd"/>
      <w:r>
        <w:rPr>
          <w:rFonts w:eastAsia="仿宋_GB2312"/>
          <w:szCs w:val="32"/>
        </w:rPr>
        <w:t>〔</w:t>
      </w:r>
      <w:r>
        <w:rPr>
          <w:rFonts w:eastAsia="仿宋_GB2312"/>
          <w:szCs w:val="32"/>
        </w:rPr>
        <w:t>2025</w:t>
      </w:r>
      <w:r>
        <w:rPr>
          <w:rFonts w:eastAsia="仿宋_GB2312"/>
          <w:szCs w:val="32"/>
        </w:rPr>
        <w:t>〕</w:t>
      </w:r>
      <w:r>
        <w:rPr>
          <w:rFonts w:eastAsia="仿宋_GB2312" w:hint="eastAsia"/>
          <w:szCs w:val="32"/>
        </w:rPr>
        <w:t>565</w:t>
      </w:r>
      <w:r>
        <w:rPr>
          <w:rFonts w:eastAsia="仿宋_GB2312" w:hint="eastAsia"/>
          <w:szCs w:val="32"/>
        </w:rPr>
        <w:t>号</w:t>
      </w:r>
      <w:r>
        <w:rPr>
          <w:rFonts w:eastAsia="仿宋_GB2312" w:hint="eastAsia"/>
          <w:bCs/>
          <w:kern w:val="0"/>
          <w:szCs w:val="32"/>
        </w:rPr>
        <w:t>）要求，在施行</w:t>
      </w:r>
      <w:r>
        <w:rPr>
          <w:rFonts w:eastAsia="仿宋_GB2312"/>
          <w:bCs/>
          <w:kern w:val="0"/>
          <w:szCs w:val="32"/>
        </w:rPr>
        <w:t>《关于推行市场主体以专用信用报告代替有无违法违规记录证明的实施方案（试行）》</w:t>
      </w:r>
      <w:r>
        <w:rPr>
          <w:rFonts w:eastAsia="仿宋_GB2312" w:hint="eastAsia"/>
          <w:bCs/>
          <w:kern w:val="0"/>
          <w:szCs w:val="32"/>
        </w:rPr>
        <w:t>（</w:t>
      </w:r>
      <w:r>
        <w:rPr>
          <w:rFonts w:eastAsia="仿宋_GB2312"/>
          <w:szCs w:val="32"/>
        </w:rPr>
        <w:t>连发改信用发〔</w:t>
      </w:r>
      <w:r>
        <w:rPr>
          <w:rFonts w:eastAsia="仿宋_GB2312"/>
          <w:szCs w:val="32"/>
        </w:rPr>
        <w:t>2025</w:t>
      </w:r>
      <w:r>
        <w:rPr>
          <w:rFonts w:eastAsia="仿宋_GB2312"/>
          <w:szCs w:val="32"/>
        </w:rPr>
        <w:t>〕</w:t>
      </w:r>
      <w:r>
        <w:rPr>
          <w:rFonts w:eastAsia="仿宋_GB2312" w:hint="eastAsia"/>
          <w:szCs w:val="32"/>
        </w:rPr>
        <w:t>43</w:t>
      </w:r>
      <w:r>
        <w:rPr>
          <w:rFonts w:eastAsia="仿宋_GB2312" w:hint="eastAsia"/>
          <w:szCs w:val="32"/>
        </w:rPr>
        <w:t>号</w:t>
      </w:r>
      <w:r>
        <w:rPr>
          <w:rFonts w:eastAsia="仿宋_GB2312" w:hint="eastAsia"/>
          <w:bCs/>
          <w:kern w:val="0"/>
          <w:szCs w:val="32"/>
        </w:rPr>
        <w:t>）基础上，现结合我市实际，就深化专项信用报告替代有无违法违规记录证明工作有关事项通知如下：</w:t>
      </w:r>
    </w:p>
    <w:p w:rsidR="00B65DEB" w:rsidRDefault="00B65DEB" w:rsidP="00B65DEB">
      <w:pPr>
        <w:autoSpaceDE/>
        <w:autoSpaceDN/>
        <w:snapToGrid/>
        <w:spacing w:line="600" w:lineRule="exact"/>
        <w:ind w:firstLineChars="200" w:firstLine="640"/>
        <w:rPr>
          <w:rFonts w:ascii="黑体" w:eastAsia="黑体" w:hAnsi="黑体" w:cs="黑体"/>
          <w:bCs/>
          <w:kern w:val="0"/>
          <w:szCs w:val="32"/>
        </w:rPr>
      </w:pPr>
      <w:r>
        <w:rPr>
          <w:rFonts w:ascii="黑体" w:eastAsia="黑体" w:hAnsi="黑体" w:cs="黑体" w:hint="eastAsia"/>
          <w:bCs/>
          <w:kern w:val="0"/>
          <w:szCs w:val="32"/>
        </w:rPr>
        <w:t>一</w:t>
      </w:r>
      <w:r>
        <w:rPr>
          <w:rFonts w:ascii="黑体" w:eastAsia="黑体" w:hAnsi="黑体" w:cs="黑体"/>
          <w:bCs/>
          <w:kern w:val="0"/>
          <w:szCs w:val="32"/>
        </w:rPr>
        <w:t>、</w:t>
      </w:r>
      <w:r>
        <w:rPr>
          <w:rFonts w:ascii="黑体" w:eastAsia="黑体" w:hAnsi="黑体" w:cs="黑体" w:hint="eastAsia"/>
          <w:bCs/>
          <w:kern w:val="0"/>
          <w:szCs w:val="32"/>
        </w:rPr>
        <w:t>拓展专项信用报告适用主体范围</w:t>
      </w:r>
    </w:p>
    <w:p w:rsidR="00B65DEB" w:rsidRDefault="00B65DEB" w:rsidP="00B65DEB">
      <w:pPr>
        <w:autoSpaceDE/>
        <w:autoSpaceDN/>
        <w:snapToGrid/>
        <w:spacing w:line="600" w:lineRule="exact"/>
        <w:ind w:firstLineChars="200" w:firstLine="640"/>
        <w:rPr>
          <w:rFonts w:eastAsia="仿宋_GB2312"/>
          <w:bCs/>
          <w:kern w:val="0"/>
          <w:szCs w:val="32"/>
        </w:rPr>
      </w:pPr>
      <w:r>
        <w:rPr>
          <w:rFonts w:ascii="楷体" w:eastAsia="楷体" w:hAnsi="楷体" w:cs="楷体" w:hint="eastAsia"/>
          <w:bCs/>
          <w:kern w:val="0"/>
          <w:szCs w:val="32"/>
        </w:rPr>
        <w:t>（一）适用主体</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自</w:t>
      </w:r>
      <w:r>
        <w:rPr>
          <w:rFonts w:eastAsia="仿宋_GB2312" w:hint="eastAsia"/>
          <w:bCs/>
          <w:kern w:val="0"/>
          <w:szCs w:val="32"/>
        </w:rPr>
        <w:t>2025</w:t>
      </w:r>
      <w:r>
        <w:rPr>
          <w:rFonts w:eastAsia="仿宋_GB2312" w:hint="eastAsia"/>
          <w:bCs/>
          <w:kern w:val="0"/>
          <w:szCs w:val="32"/>
        </w:rPr>
        <w:t>年</w:t>
      </w:r>
      <w:r>
        <w:rPr>
          <w:rFonts w:eastAsia="仿宋_GB2312" w:hint="eastAsia"/>
          <w:bCs/>
          <w:kern w:val="0"/>
          <w:szCs w:val="32"/>
        </w:rPr>
        <w:t>9</w:t>
      </w:r>
      <w:r>
        <w:rPr>
          <w:rFonts w:eastAsia="仿宋_GB2312" w:hint="eastAsia"/>
          <w:bCs/>
          <w:kern w:val="0"/>
          <w:szCs w:val="32"/>
        </w:rPr>
        <w:t>月</w:t>
      </w:r>
      <w:r>
        <w:rPr>
          <w:rFonts w:eastAsia="仿宋_GB2312" w:hint="eastAsia"/>
          <w:bCs/>
          <w:kern w:val="0"/>
          <w:szCs w:val="32"/>
        </w:rPr>
        <w:t>1</w:t>
      </w:r>
      <w:r>
        <w:rPr>
          <w:rFonts w:eastAsia="仿宋_GB2312" w:hint="eastAsia"/>
          <w:bCs/>
          <w:kern w:val="0"/>
          <w:szCs w:val="32"/>
        </w:rPr>
        <w:t>日起，下列主体均可开具专项信用报告，证明在连云港行政区域内相关领域有无违法违规记录的情况，替代有关行政机关、单位出具的有无违法违规记录证明：</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1</w:t>
      </w:r>
      <w:r>
        <w:rPr>
          <w:rFonts w:eastAsia="仿宋_GB2312" w:hint="eastAsia"/>
          <w:bCs/>
          <w:kern w:val="0"/>
          <w:szCs w:val="32"/>
        </w:rPr>
        <w:t>、企业、个体工商户、农民专业合作社</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2</w:t>
      </w:r>
      <w:r>
        <w:rPr>
          <w:rFonts w:eastAsia="仿宋_GB2312" w:hint="eastAsia"/>
          <w:bCs/>
          <w:kern w:val="0"/>
          <w:szCs w:val="32"/>
        </w:rPr>
        <w:t>、在本市登记的事业单位</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3</w:t>
      </w:r>
      <w:r>
        <w:rPr>
          <w:rFonts w:eastAsia="仿宋_GB2312" w:hint="eastAsia"/>
          <w:bCs/>
          <w:kern w:val="0"/>
          <w:szCs w:val="32"/>
        </w:rPr>
        <w:t>、在本市登记的社会组织</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4</w:t>
      </w:r>
      <w:r>
        <w:rPr>
          <w:rFonts w:eastAsia="仿宋_GB2312" w:hint="eastAsia"/>
          <w:bCs/>
          <w:kern w:val="0"/>
          <w:szCs w:val="32"/>
        </w:rPr>
        <w:t>、自然人</w:t>
      </w:r>
    </w:p>
    <w:p w:rsidR="00B65DEB" w:rsidRDefault="00B65DEB" w:rsidP="00B65DEB">
      <w:pPr>
        <w:autoSpaceDE/>
        <w:autoSpaceDN/>
        <w:snapToGrid/>
        <w:spacing w:line="600" w:lineRule="exact"/>
        <w:ind w:firstLineChars="200" w:firstLine="640"/>
        <w:rPr>
          <w:rFonts w:ascii="楷体" w:eastAsia="楷体" w:hAnsi="楷体" w:cs="楷体"/>
          <w:bCs/>
          <w:kern w:val="0"/>
          <w:szCs w:val="32"/>
        </w:rPr>
      </w:pPr>
      <w:r>
        <w:rPr>
          <w:rFonts w:ascii="楷体" w:eastAsia="楷体" w:hAnsi="楷体" w:cs="楷体" w:hint="eastAsia"/>
          <w:bCs/>
          <w:kern w:val="0"/>
          <w:szCs w:val="32"/>
        </w:rPr>
        <w:lastRenderedPageBreak/>
        <w:t>（二）适用范围</w:t>
      </w:r>
    </w:p>
    <w:p w:rsidR="00B65DEB" w:rsidRDefault="00B65DEB" w:rsidP="00B65DEB">
      <w:pPr>
        <w:autoSpaceDE/>
        <w:autoSpaceDN/>
        <w:snapToGrid/>
        <w:spacing w:line="600" w:lineRule="exact"/>
        <w:ind w:firstLineChars="200" w:firstLine="640"/>
        <w:rPr>
          <w:rFonts w:eastAsia="仿宋_GB2312"/>
          <w:bCs/>
          <w:kern w:val="0"/>
          <w:szCs w:val="32"/>
        </w:rPr>
      </w:pPr>
      <w:r>
        <w:rPr>
          <w:rFonts w:eastAsia="仿宋_GB2312" w:hint="eastAsia"/>
          <w:bCs/>
          <w:kern w:val="0"/>
          <w:szCs w:val="32"/>
        </w:rPr>
        <w:t>专项信用报告包括本市行政机关、法律法规授权（或委托）的具有管理公共事务职能的组织、有关垂直管理单位、有关司法机关等对信用主体</w:t>
      </w:r>
      <w:proofErr w:type="gramStart"/>
      <w:r>
        <w:rPr>
          <w:rFonts w:eastAsia="仿宋_GB2312" w:hint="eastAsia"/>
          <w:bCs/>
          <w:kern w:val="0"/>
          <w:szCs w:val="32"/>
        </w:rPr>
        <w:t>作出</w:t>
      </w:r>
      <w:proofErr w:type="gramEnd"/>
      <w:r>
        <w:rPr>
          <w:rFonts w:eastAsia="仿宋_GB2312" w:hint="eastAsia"/>
          <w:bCs/>
          <w:kern w:val="0"/>
          <w:szCs w:val="32"/>
        </w:rPr>
        <w:t>的行政处罚、行政强制、严重失信主体名单和刑事裁判（犯罪记录）等信息，以及省公共信用信息平台回流的相关信用信息。对于已修复的信用信息，专项信用报告标注“已修复”。支持信用主体根据应用场景自主选择报告涵盖时间和领域。对专项信用报告不能证明的事项，依照相关法律规定办理。</w:t>
      </w:r>
    </w:p>
    <w:p w:rsidR="00B65DEB" w:rsidRDefault="00B65DEB" w:rsidP="00B65DEB">
      <w:pPr>
        <w:numPr>
          <w:ilvl w:val="0"/>
          <w:numId w:val="1"/>
        </w:numPr>
        <w:autoSpaceDE/>
        <w:autoSpaceDN/>
        <w:snapToGrid/>
        <w:spacing w:line="600" w:lineRule="exact"/>
        <w:rPr>
          <w:rFonts w:ascii="黑体" w:eastAsia="黑体" w:hAnsi="黑体" w:cs="黑体"/>
          <w:bCs/>
          <w:kern w:val="0"/>
          <w:szCs w:val="32"/>
        </w:rPr>
      </w:pPr>
      <w:r>
        <w:rPr>
          <w:rFonts w:ascii="黑体" w:eastAsia="黑体" w:hAnsi="黑体" w:cs="黑体" w:hint="eastAsia"/>
          <w:bCs/>
          <w:kern w:val="0"/>
          <w:szCs w:val="32"/>
        </w:rPr>
        <w:t>拓展适用领域</w:t>
      </w:r>
    </w:p>
    <w:p w:rsidR="00B65DEB" w:rsidRDefault="00B65DEB" w:rsidP="00B65DEB">
      <w:pPr>
        <w:autoSpaceDE/>
        <w:autoSpaceDN/>
        <w:adjustRightInd w:val="0"/>
        <w:spacing w:line="600" w:lineRule="exact"/>
        <w:ind w:firstLineChars="200" w:firstLine="640"/>
        <w:rPr>
          <w:rFonts w:eastAsia="仿宋_GB2312"/>
          <w:bCs/>
          <w:color w:val="000000"/>
          <w:kern w:val="0"/>
          <w:szCs w:val="36"/>
          <w:u w:color="000000"/>
        </w:rPr>
      </w:pPr>
      <w:r>
        <w:rPr>
          <w:rFonts w:eastAsia="仿宋_GB2312"/>
          <w:bCs/>
          <w:color w:val="000000"/>
          <w:kern w:val="0"/>
          <w:szCs w:val="36"/>
          <w:u w:color="000000"/>
        </w:rPr>
        <w:t>按照</w:t>
      </w:r>
      <w:r>
        <w:rPr>
          <w:rFonts w:eastAsia="仿宋_GB2312"/>
          <w:bCs/>
          <w:color w:val="000000"/>
          <w:kern w:val="0"/>
          <w:szCs w:val="36"/>
          <w:u w:color="000000"/>
        </w:rPr>
        <w:t>“</w:t>
      </w:r>
      <w:r>
        <w:rPr>
          <w:rFonts w:eastAsia="仿宋_GB2312"/>
          <w:bCs/>
          <w:color w:val="000000"/>
          <w:kern w:val="0"/>
          <w:szCs w:val="36"/>
          <w:u w:color="000000"/>
        </w:rPr>
        <w:t>成熟一批、拓展一批</w:t>
      </w:r>
      <w:r>
        <w:rPr>
          <w:rFonts w:eastAsia="仿宋_GB2312"/>
          <w:bCs/>
          <w:color w:val="000000"/>
          <w:kern w:val="0"/>
          <w:szCs w:val="36"/>
          <w:u w:color="000000"/>
        </w:rPr>
        <w:t>”</w:t>
      </w:r>
      <w:r>
        <w:rPr>
          <w:rFonts w:eastAsia="仿宋_GB2312"/>
          <w:bCs/>
          <w:color w:val="000000"/>
          <w:kern w:val="0"/>
          <w:szCs w:val="36"/>
          <w:u w:color="000000"/>
        </w:rPr>
        <w:t>的原则，</w:t>
      </w:r>
      <w:r>
        <w:rPr>
          <w:rFonts w:eastAsia="仿宋_GB2312" w:hint="eastAsia"/>
          <w:bCs/>
          <w:color w:val="000000"/>
          <w:kern w:val="0"/>
          <w:szCs w:val="36"/>
          <w:u w:color="000000"/>
        </w:rPr>
        <w:t>在我市推行专项信用报告覆盖</w:t>
      </w:r>
      <w:r>
        <w:rPr>
          <w:rFonts w:eastAsia="仿宋_GB2312" w:hint="eastAsia"/>
          <w:bCs/>
          <w:color w:val="000000"/>
          <w:kern w:val="0"/>
          <w:szCs w:val="36"/>
          <w:u w:color="000000"/>
        </w:rPr>
        <w:t>47</w:t>
      </w:r>
      <w:r>
        <w:rPr>
          <w:rFonts w:eastAsia="仿宋_GB2312" w:hint="eastAsia"/>
          <w:bCs/>
          <w:color w:val="000000"/>
          <w:kern w:val="0"/>
          <w:szCs w:val="36"/>
          <w:u w:color="000000"/>
        </w:rPr>
        <w:t>个部门（领域）违法违规记录信息，包括：法院、发展改革、教育、科技、工业和信息化、民宗、公安、民政、司法行政、财政、人力资源社会保障、自然资源和规划、生态环境、住房城乡建设、交通运输、水利、农业农村、商务、文化和旅游、卫生健康、退役军人事务、安全生产、审计、市场监管、广播电视、体育、统计、医疗保障、地方金融监管、粮食、药品监管、知识产权、公积金管理、消防安全、国防动员、税务、气象、地震、林业、邮政快递、烟草、海事、城市管理、综合执法、人民银行、银行保险、证券等</w:t>
      </w:r>
      <w:r>
        <w:rPr>
          <w:rFonts w:eastAsia="仿宋_GB2312" w:hint="eastAsia"/>
          <w:bCs/>
          <w:color w:val="000000"/>
          <w:kern w:val="0"/>
          <w:szCs w:val="36"/>
          <w:u w:color="000000"/>
        </w:rPr>
        <w:t>47</w:t>
      </w:r>
      <w:r>
        <w:rPr>
          <w:rFonts w:eastAsia="仿宋_GB2312" w:hint="eastAsia"/>
          <w:bCs/>
          <w:color w:val="000000"/>
          <w:kern w:val="0"/>
          <w:szCs w:val="36"/>
          <w:u w:color="000000"/>
        </w:rPr>
        <w:t>个领域。</w:t>
      </w:r>
    </w:p>
    <w:p w:rsidR="00B65DEB" w:rsidRDefault="00B65DEB" w:rsidP="00B65DEB">
      <w:pPr>
        <w:autoSpaceDE/>
        <w:autoSpaceDN/>
        <w:adjustRightInd w:val="0"/>
        <w:spacing w:line="600" w:lineRule="exact"/>
        <w:ind w:firstLineChars="200" w:firstLine="640"/>
        <w:rPr>
          <w:rFonts w:eastAsia="仿宋_GB2312"/>
          <w:bCs/>
          <w:color w:val="000000"/>
          <w:kern w:val="0"/>
          <w:szCs w:val="36"/>
          <w:u w:color="000000"/>
        </w:rPr>
      </w:pPr>
      <w:r>
        <w:rPr>
          <w:rFonts w:ascii="黑体" w:eastAsia="黑体" w:hAnsi="黑体" w:cs="黑体" w:hint="eastAsia"/>
          <w:bCs/>
          <w:kern w:val="0"/>
          <w:szCs w:val="32"/>
        </w:rPr>
        <w:t>三</w:t>
      </w:r>
      <w:r>
        <w:rPr>
          <w:rFonts w:ascii="黑体" w:eastAsia="黑体" w:hAnsi="黑体" w:cs="黑体"/>
          <w:bCs/>
          <w:kern w:val="0"/>
          <w:szCs w:val="32"/>
        </w:rPr>
        <w:t>、</w:t>
      </w:r>
      <w:r>
        <w:rPr>
          <w:rFonts w:ascii="黑体" w:eastAsia="黑体" w:hAnsi="黑体" w:cs="黑体" w:hint="eastAsia"/>
          <w:bCs/>
          <w:kern w:val="0"/>
          <w:szCs w:val="32"/>
        </w:rPr>
        <w:t>应用场景</w:t>
      </w:r>
    </w:p>
    <w:p w:rsidR="00B65DEB" w:rsidRDefault="00B65DEB" w:rsidP="00B65DEB">
      <w:pPr>
        <w:autoSpaceDE/>
        <w:autoSpaceDN/>
        <w:adjustRightInd w:val="0"/>
        <w:spacing w:line="600" w:lineRule="exact"/>
        <w:ind w:firstLineChars="200" w:firstLine="640"/>
        <w:rPr>
          <w:rFonts w:eastAsia="仿宋_GB2312"/>
          <w:bCs/>
          <w:color w:val="000000"/>
          <w:kern w:val="0"/>
          <w:szCs w:val="36"/>
          <w:u w:color="000000"/>
        </w:rPr>
      </w:pPr>
      <w:r>
        <w:rPr>
          <w:rFonts w:eastAsia="仿宋_GB2312" w:hint="eastAsia"/>
          <w:bCs/>
          <w:color w:val="000000"/>
          <w:kern w:val="0"/>
          <w:szCs w:val="36"/>
          <w:u w:color="000000"/>
        </w:rPr>
        <w:lastRenderedPageBreak/>
        <w:t>各地各部门要依法依规拓展应用场景，在政府投资、行政审批、申请优惠政策、评先评优等公共管理和服务事项以及招标投标、融资授信、商业往来等市场交易活动中推广“信用代证”工作。</w:t>
      </w:r>
      <w:r w:rsidRPr="00B65DEB">
        <w:rPr>
          <w:rFonts w:eastAsia="仿宋_GB2312" w:hint="eastAsia"/>
          <w:bCs/>
          <w:color w:val="000000"/>
          <w:kern w:val="0"/>
          <w:szCs w:val="36"/>
          <w:u w:color="000000"/>
        </w:rPr>
        <w:t>需要信用主体提供其他地区有无违法违规记录证明的，各主管部门应认可相关地区出具的专项信用报告</w:t>
      </w:r>
      <w:r w:rsidRPr="00B65DEB">
        <w:rPr>
          <w:rFonts w:eastAsia="仿宋_GB2312" w:hint="eastAsia"/>
          <w:bCs/>
          <w:color w:val="000000"/>
          <w:kern w:val="0"/>
          <w:szCs w:val="36"/>
          <w:u w:color="000000"/>
        </w:rPr>
        <w:t>，不能再要求信用主体重复提供相关证明。</w:t>
      </w:r>
    </w:p>
    <w:p w:rsidR="00B65DEB" w:rsidRDefault="00B65DEB" w:rsidP="00B65DEB">
      <w:pPr>
        <w:autoSpaceDE/>
        <w:autoSpaceDN/>
        <w:snapToGrid/>
        <w:spacing w:line="600" w:lineRule="exact"/>
        <w:ind w:left="640" w:firstLine="0"/>
        <w:rPr>
          <w:rFonts w:ascii="黑体" w:eastAsia="黑体" w:hAnsi="黑体" w:cs="黑体"/>
          <w:bCs/>
          <w:kern w:val="0"/>
          <w:szCs w:val="32"/>
        </w:rPr>
      </w:pPr>
      <w:r>
        <w:rPr>
          <w:rFonts w:ascii="黑体" w:eastAsia="黑体" w:hAnsi="黑体" w:cs="黑体" w:hint="eastAsia"/>
          <w:bCs/>
          <w:kern w:val="0"/>
          <w:szCs w:val="32"/>
        </w:rPr>
        <w:t>四、工作安排</w:t>
      </w:r>
    </w:p>
    <w:p w:rsidR="00B65DEB" w:rsidRDefault="00B65DEB" w:rsidP="00B65DEB">
      <w:pPr>
        <w:autoSpaceDE/>
        <w:autoSpaceDN/>
        <w:snapToGrid/>
        <w:spacing w:line="600" w:lineRule="exact"/>
        <w:ind w:firstLineChars="200" w:firstLine="640"/>
        <w:rPr>
          <w:rFonts w:eastAsia="仿宋_GB2312"/>
          <w:bCs/>
          <w:kern w:val="0"/>
          <w:szCs w:val="32"/>
        </w:rPr>
      </w:pPr>
      <w:r>
        <w:rPr>
          <w:rFonts w:eastAsia="楷体_GB2312" w:hint="eastAsia"/>
          <w:bCs/>
          <w:kern w:val="0"/>
          <w:szCs w:val="32"/>
        </w:rPr>
        <w:t>（一）加强信息归集共享。</w:t>
      </w:r>
      <w:r>
        <w:rPr>
          <w:rFonts w:eastAsia="仿宋_GB2312" w:hint="eastAsia"/>
          <w:bCs/>
          <w:kern w:val="0"/>
          <w:szCs w:val="32"/>
        </w:rPr>
        <w:t>市公共信用信息平台负责全市信用信息归集共享。数据源单位应对数据全面性、真实性、准确性、及时性负责。市数据局持续优化简易行政处罚、行政强制数据归集，与市</w:t>
      </w:r>
      <w:proofErr w:type="gramStart"/>
      <w:r>
        <w:rPr>
          <w:rFonts w:eastAsia="仿宋_GB2312" w:hint="eastAsia"/>
          <w:bCs/>
          <w:kern w:val="0"/>
          <w:szCs w:val="32"/>
        </w:rPr>
        <w:t>发改委建立</w:t>
      </w:r>
      <w:proofErr w:type="gramEnd"/>
      <w:r>
        <w:rPr>
          <w:rFonts w:eastAsia="仿宋_GB2312" w:hint="eastAsia"/>
          <w:bCs/>
          <w:kern w:val="0"/>
          <w:szCs w:val="32"/>
        </w:rPr>
        <w:t>共享机制，实现信息</w:t>
      </w:r>
      <w:proofErr w:type="gramStart"/>
      <w:r>
        <w:rPr>
          <w:rFonts w:eastAsia="仿宋_GB2312" w:hint="eastAsia"/>
          <w:bCs/>
          <w:kern w:val="0"/>
          <w:szCs w:val="32"/>
        </w:rPr>
        <w:t>归集全</w:t>
      </w:r>
      <w:proofErr w:type="gramEnd"/>
      <w:r>
        <w:rPr>
          <w:rFonts w:eastAsia="仿宋_GB2312" w:hint="eastAsia"/>
          <w:bCs/>
          <w:kern w:val="0"/>
          <w:szCs w:val="32"/>
        </w:rPr>
        <w:t>覆盖。市公安局要完善相关数据接口核验功能，明确数据标准和数据规范。严重失信主体名单信息及部分省级层面实现集中报送的信息，统一使用江苏省公共信用信息系统共享平台定期推送市公共信用信息平台的信息。</w:t>
      </w:r>
    </w:p>
    <w:p w:rsidR="00B65DEB" w:rsidRDefault="00B65DEB" w:rsidP="00B65DEB">
      <w:pPr>
        <w:adjustRightInd w:val="0"/>
        <w:spacing w:line="570" w:lineRule="exact"/>
        <w:ind w:firstLineChars="200" w:firstLine="640"/>
        <w:rPr>
          <w:rFonts w:eastAsia="仿宋_GB2312"/>
          <w:bCs/>
          <w:kern w:val="0"/>
          <w:szCs w:val="32"/>
        </w:rPr>
      </w:pPr>
      <w:r>
        <w:rPr>
          <w:rFonts w:eastAsia="楷体_GB2312" w:hint="eastAsia"/>
          <w:bCs/>
          <w:kern w:val="0"/>
          <w:szCs w:val="32"/>
        </w:rPr>
        <w:t>（二）优化信用平台功能。</w:t>
      </w:r>
      <w:r>
        <w:rPr>
          <w:rFonts w:eastAsia="仿宋_GB2312" w:hint="eastAsia"/>
          <w:bCs/>
          <w:kern w:val="0"/>
          <w:szCs w:val="32"/>
        </w:rPr>
        <w:t>完善市公共信用信息平台功能，在“信用连云港”网站开发专项信用报告查询专区，在</w:t>
      </w:r>
      <w:r w:rsidRPr="001847B0">
        <w:rPr>
          <w:rFonts w:eastAsia="仿宋_GB2312"/>
          <w:bCs/>
          <w:kern w:val="0"/>
          <w:szCs w:val="32"/>
        </w:rPr>
        <w:t>“</w:t>
      </w:r>
      <w:r w:rsidRPr="001847B0">
        <w:rPr>
          <w:rFonts w:eastAsia="仿宋_GB2312"/>
          <w:bCs/>
          <w:kern w:val="0"/>
          <w:szCs w:val="32"/>
        </w:rPr>
        <w:t>我的连云港</w:t>
      </w:r>
      <w:r w:rsidRPr="001847B0">
        <w:rPr>
          <w:rFonts w:eastAsia="仿宋_GB2312"/>
          <w:bCs/>
          <w:kern w:val="0"/>
          <w:szCs w:val="32"/>
        </w:rPr>
        <w:t>”APP</w:t>
      </w:r>
      <w:r w:rsidRPr="001847B0">
        <w:rPr>
          <w:rFonts w:eastAsia="仿宋_GB2312"/>
          <w:bCs/>
          <w:kern w:val="0"/>
          <w:szCs w:val="32"/>
        </w:rPr>
        <w:t>、</w:t>
      </w:r>
      <w:r w:rsidRPr="001847B0">
        <w:rPr>
          <w:rFonts w:eastAsia="仿宋_GB2312"/>
          <w:bCs/>
          <w:kern w:val="0"/>
          <w:szCs w:val="32"/>
        </w:rPr>
        <w:t>“</w:t>
      </w:r>
      <w:r w:rsidRPr="001847B0">
        <w:rPr>
          <w:rFonts w:eastAsia="仿宋_GB2312"/>
          <w:bCs/>
          <w:kern w:val="0"/>
          <w:szCs w:val="32"/>
        </w:rPr>
        <w:t>苏服办</w:t>
      </w:r>
      <w:r w:rsidRPr="001847B0">
        <w:rPr>
          <w:rFonts w:eastAsia="仿宋_GB2312"/>
          <w:bCs/>
          <w:kern w:val="0"/>
          <w:szCs w:val="32"/>
        </w:rPr>
        <w:t>”APP</w:t>
      </w:r>
      <w:r w:rsidRPr="001847B0">
        <w:rPr>
          <w:rFonts w:eastAsia="仿宋_GB2312"/>
          <w:bCs/>
          <w:kern w:val="0"/>
          <w:szCs w:val="32"/>
        </w:rPr>
        <w:t>上线市场主体专用信用报告开具功能</w:t>
      </w:r>
      <w:r w:rsidRPr="001847B0">
        <w:rPr>
          <w:rFonts w:eastAsia="仿宋_GB2312" w:hint="eastAsia"/>
          <w:bCs/>
          <w:kern w:val="0"/>
          <w:szCs w:val="32"/>
        </w:rPr>
        <w:t>。</w:t>
      </w:r>
      <w:r>
        <w:rPr>
          <w:rFonts w:eastAsia="仿宋_GB2312" w:hint="eastAsia"/>
          <w:bCs/>
          <w:kern w:val="0"/>
          <w:szCs w:val="32"/>
        </w:rPr>
        <w:t>同步提供《专项信用报告》查询、下载、咨询、异议申诉、真伪验证等高效、免费、便利化服务。要在各级政务服务大厅通过综合服务窗口或信用服务窗口、一体化智能自助终端等提供《专项信</w:t>
      </w:r>
      <w:r>
        <w:rPr>
          <w:rFonts w:eastAsia="仿宋_GB2312" w:hint="eastAsia"/>
          <w:bCs/>
          <w:kern w:val="0"/>
          <w:szCs w:val="32"/>
        </w:rPr>
        <w:lastRenderedPageBreak/>
        <w:t>用报告》线下查询、打印渠道，为不方便网上办理的相关主体提供便利。</w:t>
      </w:r>
    </w:p>
    <w:p w:rsidR="00B65DEB" w:rsidRDefault="00B65DEB" w:rsidP="00B65DEB">
      <w:pPr>
        <w:autoSpaceDE/>
        <w:autoSpaceDN/>
        <w:snapToGrid/>
        <w:spacing w:line="600" w:lineRule="exact"/>
        <w:ind w:firstLineChars="200" w:firstLine="640"/>
        <w:rPr>
          <w:rFonts w:eastAsia="仿宋_GB2312"/>
          <w:bCs/>
          <w:kern w:val="0"/>
          <w:szCs w:val="32"/>
        </w:rPr>
      </w:pPr>
      <w:r>
        <w:rPr>
          <w:rFonts w:eastAsia="楷体_GB2312" w:hint="eastAsia"/>
          <w:bCs/>
          <w:kern w:val="0"/>
          <w:szCs w:val="32"/>
        </w:rPr>
        <w:t>（三）稳步探索深化创新应用。</w:t>
      </w:r>
      <w:r>
        <w:rPr>
          <w:rFonts w:eastAsia="仿宋_GB2312" w:hint="eastAsia"/>
          <w:bCs/>
          <w:kern w:val="0"/>
          <w:szCs w:val="32"/>
        </w:rPr>
        <w:t>鼓励有条件的县区进一步拓展“信用代证”应用领域和场景，探索信用承诺制，支持信用主体对暂未覆盖领域的违法违规情况主动承诺，并建立履约践诺跟踪机制。</w:t>
      </w:r>
    </w:p>
    <w:p w:rsidR="00B65DEB" w:rsidRDefault="00B65DEB" w:rsidP="00B65DEB">
      <w:pPr>
        <w:autoSpaceDE/>
        <w:autoSpaceDN/>
        <w:snapToGrid/>
        <w:spacing w:line="600" w:lineRule="exact"/>
        <w:ind w:firstLineChars="200" w:firstLine="640"/>
        <w:rPr>
          <w:rFonts w:eastAsia="仿宋_GB2312"/>
          <w:szCs w:val="22"/>
        </w:rPr>
      </w:pPr>
      <w:r>
        <w:rPr>
          <w:rFonts w:eastAsia="楷体_GB2312"/>
          <w:bCs/>
          <w:kern w:val="0"/>
          <w:szCs w:val="32"/>
        </w:rPr>
        <w:t>（四）维护信用主体权益。</w:t>
      </w:r>
      <w:r>
        <w:rPr>
          <w:rFonts w:eastAsia="仿宋_GB2312" w:hint="eastAsia"/>
          <w:bCs/>
          <w:kern w:val="0"/>
          <w:szCs w:val="32"/>
        </w:rPr>
        <w:t>信用主体认为信息有误的，按照有关规定提起异议申诉，相关部门应及时受理反馈。公共信用信息的异议、更正、更新、修复等事项，按照《国务院办公厅印发关于进一步完善信用修复制度的实施方案的通知》（国办发〔</w:t>
      </w:r>
      <w:r>
        <w:rPr>
          <w:rFonts w:eastAsia="仿宋_GB2312" w:hint="eastAsia"/>
          <w:bCs/>
          <w:kern w:val="0"/>
          <w:szCs w:val="32"/>
        </w:rPr>
        <w:t>2025</w:t>
      </w:r>
      <w:r>
        <w:rPr>
          <w:rFonts w:eastAsia="仿宋_GB2312" w:hint="eastAsia"/>
          <w:bCs/>
          <w:kern w:val="0"/>
          <w:szCs w:val="32"/>
        </w:rPr>
        <w:t>〕</w:t>
      </w:r>
      <w:r>
        <w:rPr>
          <w:rFonts w:eastAsia="仿宋_GB2312" w:hint="eastAsia"/>
          <w:bCs/>
          <w:kern w:val="0"/>
          <w:szCs w:val="32"/>
        </w:rPr>
        <w:t>22</w:t>
      </w:r>
      <w:r>
        <w:rPr>
          <w:rFonts w:eastAsia="仿宋_GB2312" w:hint="eastAsia"/>
          <w:bCs/>
          <w:kern w:val="0"/>
          <w:szCs w:val="32"/>
        </w:rPr>
        <w:t>号）、《江苏省社会信用条例》等有关规定处理，建立市公共信用信息系统统一受理、各有关单位快速处理反馈机制。</w:t>
      </w:r>
    </w:p>
    <w:p w:rsidR="00776C17" w:rsidRPr="00B65DEB" w:rsidRDefault="00776C17"/>
    <w:sectPr w:rsidR="00776C17" w:rsidRPr="00B65DEB" w:rsidSect="00D67322">
      <w:pgSz w:w="11906" w:h="16838"/>
      <w:pgMar w:top="2098" w:right="1474" w:bottom="1985"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D4364"/>
    <w:multiLevelType w:val="multilevel"/>
    <w:tmpl w:val="585D4364"/>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EB"/>
    <w:rsid w:val="00776C17"/>
    <w:rsid w:val="00B65DEB"/>
    <w:rsid w:val="00D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1965"/>
  <w15:chartTrackingRefBased/>
  <w15:docId w15:val="{B97E1D03-2040-4D84-A377-9A16F18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EB"/>
    <w:pPr>
      <w:widowControl w:val="0"/>
      <w:autoSpaceDE w:val="0"/>
      <w:autoSpaceDN w:val="0"/>
      <w:snapToGrid w:val="0"/>
      <w:spacing w:line="567" w:lineRule="atLeast"/>
      <w:ind w:firstLine="624"/>
      <w:jc w:val="both"/>
    </w:pPr>
    <w:rPr>
      <w:rFonts w:ascii="Times New Roman" w:eastAsia="方正仿宋简体" w:hAnsi="Times New Roman" w:cs="Times New Roman"/>
      <w:sz w:val="32"/>
      <w:szCs w:val="20"/>
    </w:rPr>
  </w:style>
  <w:style w:type="paragraph" w:styleId="1">
    <w:name w:val="heading 1"/>
    <w:basedOn w:val="a"/>
    <w:next w:val="a"/>
    <w:link w:val="10"/>
    <w:qFormat/>
    <w:rsid w:val="00B65DE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65DEB"/>
    <w:rPr>
      <w:rFonts w:ascii="Times New Roman" w:eastAsia="方正仿宋简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253</Words>
  <Characters>1447</Characters>
  <Application>Microsoft Office Word</Application>
  <DocSecurity>0</DocSecurity>
  <Lines>12</Lines>
  <Paragraphs>3</Paragraphs>
  <ScaleCrop>false</ScaleCrop>
  <Company>DoubleOX</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2025-08-20T02:55:00Z</dcterms:created>
  <dcterms:modified xsi:type="dcterms:W3CDTF">2025-08-20T02:57:00Z</dcterms:modified>
</cp:coreProperties>
</file>