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14:paraId="5E8F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14:paraId="6582E28E">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14:paraId="5332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14:paraId="1DE75410">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连云港市“一带一路”建设促进中心</w:t>
            </w:r>
            <w:r>
              <w:rPr>
                <w:b w:val="on"/>
                <w:rFonts w:ascii="宋体" w:eastAsia="宋体" w:hAnsi="宋体" w:cs="宋体"/>
                <w:sz w:val="52"/>
                <w:u w:color="auto"/>
              </w:rPr>
              <w:t xml:space="preserve"></w:t>
              <w:br w:type="textWrapping"/>
              <w:t>单位预算公开</w:t>
            </w:r>
            <w:r>
              <w:rPr>
                <w:b w:val="on"/>
                <w:rFonts w:ascii="宋体" w:eastAsia="宋体" w:hAnsi="宋体" w:cs="宋体"/>
                <w:sz w:val="52"/>
                <w:u w:color="auto"/>
              </w:rPr>
              <w:t/>
            </w:r>
            <w:r>
              <w:rPr>
                <w:b w:val="on"/>
                <w:rFonts w:ascii="宋体" w:eastAsia="宋体" w:hAnsi="宋体" w:cs="宋体"/>
                <w:sz w:val="52"/>
                <w:u w:color="auto"/>
              </w:rPr>
              <w:t/>
            </w:r>
          </w:p>
        </w:tc>
      </w:tr>
    </w:tbl>
    <w:p w14:paraId="14897ACB">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14:paraId="6AEB147C">
      <w:pPr>
        <w:pStyle w:val="8"/>
        <w:spacing w:before="4" w:after="0"/>
        <w:rPr>
          <w:rFonts w:ascii="华文仿宋" w:hAnsi="华文仿宋" w:eastAsia="华文仿宋" w:cs="仿宋"/>
          <w:sz w:val="10"/>
        </w:rPr>
      </w:pPr>
    </w:p>
    <w:p w14:paraId="739D6A77">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14:paraId="5499024E">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14:paraId="63325B0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单位</w:t>
      </w:r>
      <w:r>
        <w:rPr>
          <w:rFonts w:hint="eastAsia" w:ascii="仿宋" w:hAnsi="仿宋" w:eastAsia="仿宋" w:cs="仿宋"/>
          <w:b/>
          <w:bCs/>
        </w:rPr>
        <w:t>概况</w:t>
      </w:r>
    </w:p>
    <w:p w14:paraId="502DA453">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14:paraId="658D6902">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机构设置及预算单位构成情况</w:t>
      </w:r>
    </w:p>
    <w:p w14:paraId="552D6E10">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单位</w:t>
      </w:r>
      <w:r>
        <w:rPr>
          <w:rFonts w:hint="eastAsia" w:ascii="仿宋" w:hAnsi="仿宋" w:eastAsia="仿宋" w:cs="仿宋"/>
        </w:rPr>
        <w:t>主要工作任务及目标</w:t>
      </w:r>
    </w:p>
    <w:p w14:paraId="2B33D14A">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单位</w:t>
      </w:r>
      <w:r>
        <w:rPr>
          <w:b w:val="on"/>
          <w:rFonts w:ascii="仿宋" w:eastAsia="仿宋" w:hAnsi="仿宋" w:cs="仿宋"/>
          <w:u w:color="auto"/>
        </w:rPr>
        <w:t>预算表</w:t>
      </w:r>
    </w:p>
    <w:p w14:paraId="697B2D1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14:paraId="21CD196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14:paraId="2D83067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14:paraId="436688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14:paraId="5F8EC72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14:paraId="60D300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14:paraId="6CA016C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14:paraId="54387C9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14:paraId="79124BC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14:paraId="31E56A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14:paraId="58E1B9C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14:paraId="5D5451FF">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14:paraId="0C8D45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14:paraId="2B2329B3">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单位</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14:paraId="17567B92">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14:paraId="3626083D">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14:paraId="62BECF84">
      <w:pPr>
        <w:pStyle w:val="8"/>
        <w:spacing w:before="1" w:after="0"/>
        <w:rPr>
          <w:rFonts w:ascii="华文仿宋" w:hAnsi="华文仿宋" w:eastAsia="华文仿宋" w:cs="仿宋"/>
          <w:sz w:val="14"/>
        </w:rPr>
      </w:pPr>
    </w:p>
    <w:p w14:paraId="6E02EF27">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单位</w:t>
      </w:r>
      <w:r>
        <w:rPr>
          <w:rFonts w:hint="eastAsia" w:ascii="仿宋" w:hAnsi="仿宋" w:eastAsia="仿宋" w:cs="仿宋"/>
          <w:b/>
          <w:bCs/>
        </w:rPr>
        <w:t>概况</w:t>
      </w:r>
    </w:p>
    <w:p w14:paraId="596E3451">
      <w:pPr>
        <w:ind w:right="504" w:rightChars="229"/>
        <w:jc w:val="both"/>
        <w:rPr>
          <w:rFonts w:hint="eastAsia"/>
        </w:rPr>
      </w:pPr>
    </w:p>
    <w:p w14:paraId="4E0400A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参与连云港“一带一路”交汇点强支点建设重大问题、政策法规、对外合作相关政策研究;参与推进有关政策落实;参与推进“一带一路”项目对接、合作交流;参与研究推动连云港“一带一路”综合交通中心和物流枢纽建设；承担“一带一路”人才培养交流、数据分析、宣传推介、评价评估等事务性工作;承担市推进“一带一路”建设工作领导小组办公室交办的相关任务等。</w:t>
      </w:r>
      <w:r>
        <w:rPr>
          <w:rFonts w:ascii="仿宋" w:eastAsia="仿宋" w:hAnsi="仿宋" w:cs="仿宋"/>
          <w:u w:color="auto"/>
        </w:rPr>
        <w:t/>
      </w:r>
    </w:p>
    <w:p w14:paraId="6B17DDCD">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单位</w:t>
      </w:r>
      <w:r>
        <w:rPr>
          <w:rFonts w:hint="eastAsia" w:ascii="仿宋" w:hAnsi="仿宋" w:eastAsia="仿宋" w:cs="仿宋"/>
          <w:b/>
          <w:bCs/>
        </w:rPr>
        <w:t>机构设置及预算单位构成情况</w:t>
      </w:r>
    </w:p>
    <w:p w14:paraId="77273F30">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本单位无内设机构。</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本单位无下属单位。</w:t>
      </w:r>
      <w:r>
        <w:rPr>
          <w:rFonts w:ascii="仿宋" w:eastAsia="仿宋" w:hAnsi="仿宋" w:cs="仿宋"/>
          <w:u w:color="auto"/>
        </w:rPr>
        <w:t/>
      </w:r>
      <w:r>
        <w:rPr>
          <w:rFonts w:ascii="仿宋" w:eastAsia="仿宋" w:hAnsi="仿宋" w:cs="仿宋"/>
          <w:u w:color="auto"/>
        </w:rPr>
        <w:t/>
      </w:r>
    </w:p>
    <w:p w14:paraId="17E355E1">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单位</w:t>
      </w:r>
      <w:r>
        <w:rPr>
          <w:b w:val="on"/>
          <w:rFonts w:ascii="仿宋" w:eastAsia="仿宋" w:hAnsi="仿宋" w:cs="仿宋"/>
          <w:u w:color="auto"/>
        </w:rPr>
        <w:t>主要工作任务及目标</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2026年，促进中心将以“数字化赋能、智能化服务、体系化支撑”为工作目标，打造“宣传有载体、研究有成果、数据有支撑、项目有落地”的工作格局。</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总体工作思路：坚持“服务决策、赋能产业、链接内外”的定位，推动工作重心从“基础数据收集、制度搭建”向“数据应用、成果转化、项目落地”转变；以跨部门协同为保障，强化与海关、港口、数据局等单位的联动，把碎片化的研究、数据、项目资源整合为系统化的服务能力，切实发挥促进中心桥梁和支撑作用。</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具体工作打算：</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1.筑牢内部管理基础：完成财务、人事、业务管理制度的内容优化，提升内部运转效率；常态化做好人员培训等工作。</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做优宣传推介体系：完成连云港市“一带一路”网站及公众号上线运营，优化栏目设置、丰富内容供给，同步提升《决策参考》内参质量，聚焦决策痛点调整内容架构，全年完成12期内参编制，打造线上线下宣传矩阵。</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3.争取数字平台落地：推进数字一体化平台自主研发分步建设平台子系统，完成对外智能宣传推介平台、政务服务智能平台的功能搭建，实现我市“一带一路”建设成就、营商环境、投资机遇的智能化传播；启动对内数字智能化智库平台开发，集成大数据分析功能，为决策提供可视化支撑。自主研发一带一路智能知识库系统、一带一路门户网站及后台管理系统、一带一路内部智库网站及后台管理系统、智能报告生成系统、微信公众号智能发布系统等子系统。</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4.强化研究成果转化：持续开展政策解读、典型案例分析、国家投资环境研究，全年产出不少于20篇分析材料；完成发展指数体系的专家论证与优化，发布《连云港市“一带一路”发展指数报告》，并形成指数应用建议供决策参考。</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5.完善数据与评估体系：动态更新经济指标库，与海关、港口、统计局等单位建立月度数据共享机制，保障数据时效性；按季度发布货物贸易监测报告4篇，年度发布货物贸易大数据报告1篇、发展指数报告1篇、一带一路发展报告1篇，并适时增加新的评估报告，进一步完善数据与评估体系。</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2026年促进中心将锚定目标、务实创新，以扎实的举措，为连云港打造“一带一路”交汇点强支点贡献力量。</w:t>
      </w:r>
      <w:r>
        <w:rPr>
          <w:rFonts w:ascii="仿宋" w:eastAsia="仿宋" w:hAnsi="仿宋" w:cs="仿宋"/>
          <w:u w:color="auto"/>
        </w:rPr>
        <w:t/>
      </w:r>
    </w:p>
    <w:p w14:paraId="60B181B9">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22ACF442">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14:paraId="272DDB3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2D8EBC2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6F080D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9DBE682">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4341A017">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1DCEEF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7D7F2C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14:paraId="2C05E6B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14:paraId="199236A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连云港市“一带一路”建设促进中心</w:t>
      </w:r>
    </w:p>
    <w:p w14:paraId="341EDBD7">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单位</w:t>
      </w:r>
      <w:r>
        <w:rPr>
          <w:b w:val="on"/>
          <w:rFonts w:ascii="仿宋" w:eastAsia="仿宋" w:hAnsi="仿宋" w:cs="仿宋"/>
          <w:sz w:val="44"/>
          <w:u w:color="auto"/>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14:paraId="6B843739">
        <w:tblPrEx>
          <w:tblCellMar>
            <w:top w:w="0" w:type="dxa"/>
            <w:left w:w="108" w:type="dxa"/>
            <w:bottom w:w="0" w:type="dxa"/>
            <w:right w:w="108" w:type="dxa"/>
          </w:tblCellMar>
        </w:tblPrEx>
        <w:trPr>
          <w:trHeight w:val="116" w:hRule="atLeast"/>
          <w:jc w:val="center"/>
        </w:trPr>
        <w:tc>
          <w:tcPr>
            <w:tcW w:w="11329" w:type="dxa"/>
            <w:gridSpan w:val="5"/>
            <w:vAlign w:val="center"/>
          </w:tcPr>
          <w:p w14:paraId="702297EC">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14:paraId="1764F984">
        <w:tblPrEx>
          <w:tblCellMar>
            <w:top w:w="0" w:type="dxa"/>
            <w:left w:w="108" w:type="dxa"/>
            <w:bottom w:w="0" w:type="dxa"/>
            <w:right w:w="108" w:type="dxa"/>
          </w:tblCellMar>
        </w:tblPrEx>
        <w:trPr>
          <w:trHeight w:val="348" w:hRule="atLeast"/>
          <w:jc w:val="center"/>
        </w:trPr>
        <w:tc>
          <w:tcPr>
            <w:tcW w:w="11329" w:type="dxa"/>
            <w:gridSpan w:val="5"/>
          </w:tcPr>
          <w:p w14:paraId="5C8D19CF">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14:paraId="24120ED6">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14:paraId="0821509B">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连云港市“一带一路”建设促进中心</w:t>
            </w:r>
          </w:p>
        </w:tc>
        <w:tc>
          <w:tcPr>
            <w:tcW w:w="1848" w:type="dxa"/>
            <w:gridSpan w:val="2"/>
            <w:tcBorders>
              <w:bottom w:val="single" w:color="000000" w:sz="4" w:space="0"/>
            </w:tcBorders>
            <w:vAlign w:val="center"/>
          </w:tcPr>
          <w:p w14:paraId="23651FFA">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14:paraId="3702B088">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14:paraId="3FD8F87B">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14:paraId="54A7E373">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14:paraId="1F1A563E">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3454410D">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14:paraId="4A579FD4">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3FF373DD">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14:paraId="6220095F">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195.64</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140.96</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54.68</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1F33EBB7">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17926F">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38DEB73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195.64</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46DD57B8">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6382C9F7">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195.64</w:t>
            </w:r>
          </w:p>
        </w:tc>
      </w:tr>
      <w:tr w14:paraId="329AFA72">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4C8D4B2">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14:paraId="3E159CD5">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FC60096">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14:paraId="3704249E">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14:paraId="76EB94B8">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222249">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4BCA5632">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195.64</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697845E3">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5365208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195.64</w:t>
            </w:r>
          </w:p>
        </w:tc>
      </w:tr>
    </w:tbl>
    <w:p w14:paraId="6C3B3BB7">
      <w:pPr>
        <w:widowControl w:val="0"/>
        <w:suppressAutoHyphens/>
        <w:bidi w:val="0"/>
        <w:spacing w:before="66" w:after="0"/>
        <w:ind w:right="0"/>
        <w:jc w:val="left"/>
        <w:rPr>
          <w:rFonts w:hint="eastAsia" w:ascii="仿宋" w:hAnsi="仿宋" w:eastAsia="仿宋" w:cs="仿宋"/>
          <w:b/>
          <w:bCs/>
          <w:color w:val="000000"/>
          <w:sz w:val="22"/>
          <w:szCs w:val="22"/>
        </w:rPr>
        <w:sectPr>
          <w:footerReference r:id="rId8"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14:paraId="38C4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6B2E0BE6">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14:paraId="2F2C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1E7DD5A7">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331B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14:paraId="2E442F95">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连云港市“一带一路”建设促进中心</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14:paraId="64D72F53">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14:paraId="6835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C4B3A1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CE94BD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97B8B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9015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DBFDD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14:paraId="352C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69B3E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F824EB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72CFE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45D3E8">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29D190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AF7B0A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C7D35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36CBF6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BC8E72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14:paraId="15E0551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43B4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FF201C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EDF3CD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52065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14:paraId="7B512B5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B67ED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CFAAE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A0283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C79A7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28A4F5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208089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14:paraId="1760D3E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14:paraId="6B81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2512FF8">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4F33B9">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195.64</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BE495F1">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195.64</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5EBDD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195.64</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7CD33D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732720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7C9D9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42198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1ABB5A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7091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7A9507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76769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D17D0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0118D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4973A8F">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967099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6E9FE4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8CAED8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074269</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连云港市“一带一路”建设促进中心</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195.64</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195.64</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195.64</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14:paraId="05EA3505">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9"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14:paraId="44611C65">
        <w:tblPrEx>
          <w:tblCellMar>
            <w:top w:w="55" w:type="dxa"/>
            <w:left w:w="55" w:type="dxa"/>
            <w:bottom w:w="55" w:type="dxa"/>
            <w:right w:w="55" w:type="dxa"/>
          </w:tblCellMar>
        </w:tblPrEx>
        <w:trPr>
          <w:trHeight w:val="341" w:hRule="atLeast"/>
        </w:trPr>
        <w:tc>
          <w:tcPr>
            <w:tcW w:w="15347" w:type="dxa"/>
            <w:gridSpan w:val="8"/>
            <w:vAlign w:val="center"/>
          </w:tcPr>
          <w:p w14:paraId="7061346E">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14:paraId="30701D2B">
        <w:tblPrEx>
          <w:tblCellMar>
            <w:top w:w="55" w:type="dxa"/>
            <w:left w:w="55" w:type="dxa"/>
            <w:bottom w:w="55" w:type="dxa"/>
            <w:right w:w="55" w:type="dxa"/>
          </w:tblCellMar>
        </w:tblPrEx>
        <w:trPr>
          <w:trHeight w:val="321" w:hRule="atLeast"/>
        </w:trPr>
        <w:tc>
          <w:tcPr>
            <w:tcW w:w="15347" w:type="dxa"/>
            <w:gridSpan w:val="8"/>
            <w:vAlign w:val="center"/>
          </w:tcPr>
          <w:p w14:paraId="314D5A46">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51B21317">
        <w:tblPrEx>
          <w:tblCellMar>
            <w:top w:w="55" w:type="dxa"/>
            <w:left w:w="55" w:type="dxa"/>
            <w:bottom w:w="55" w:type="dxa"/>
            <w:right w:w="55" w:type="dxa"/>
          </w:tblCellMar>
        </w:tblPrEx>
        <w:trPr>
          <w:trHeight w:val="218" w:hRule="atLeast"/>
        </w:trPr>
        <w:tc>
          <w:tcPr>
            <w:tcW w:w="12030" w:type="dxa"/>
            <w:gridSpan w:val="6"/>
            <w:vAlign w:val="center"/>
          </w:tcPr>
          <w:p w14:paraId="73FF8091">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连云港市“一带一路”建设促进中心</w:t>
            </w:r>
          </w:p>
        </w:tc>
        <w:tc>
          <w:tcPr>
            <w:tcW w:w="3317" w:type="dxa"/>
            <w:gridSpan w:val="2"/>
            <w:vAlign w:val="center"/>
          </w:tcPr>
          <w:p w14:paraId="232D1AB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7A36CF1">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14:paraId="4A31811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14:paraId="0470B43A">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14:paraId="4035FCF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14:paraId="6DEB6C4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14:paraId="5D483D2D">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14:paraId="2C083FE1">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14:paraId="2282AC7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14:paraId="4EC4AC47">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14:paraId="7275282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14:paraId="2436251E">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14:paraId="26D30828">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14:paraId="0B5646C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195.64</w:t>
            </w:r>
          </w:p>
        </w:tc>
        <w:tc>
          <w:tcPr>
            <w:tcW w:w="1714" w:type="dxa"/>
            <w:tcBorders>
              <w:left w:val="single" w:color="000000" w:sz="4" w:space="0"/>
              <w:bottom w:val="single" w:color="000000" w:sz="4" w:space="0"/>
            </w:tcBorders>
            <w:vAlign w:val="center"/>
          </w:tcPr>
          <w:p w14:paraId="7AC1DCF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171.64</w:t>
            </w:r>
          </w:p>
        </w:tc>
        <w:tc>
          <w:tcPr>
            <w:tcW w:w="1749" w:type="dxa"/>
            <w:tcBorders>
              <w:left w:val="single" w:color="000000" w:sz="4" w:space="0"/>
              <w:bottom w:val="single" w:color="000000" w:sz="4" w:space="0"/>
            </w:tcBorders>
            <w:vAlign w:val="center"/>
          </w:tcPr>
          <w:p w14:paraId="3D172D4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24.00</w:t>
            </w:r>
          </w:p>
        </w:tc>
        <w:tc>
          <w:tcPr>
            <w:tcW w:w="1868" w:type="dxa"/>
            <w:tcBorders>
              <w:left w:val="single" w:color="000000" w:sz="4" w:space="0"/>
              <w:bottom w:val="single" w:color="000000" w:sz="4" w:space="0"/>
            </w:tcBorders>
            <w:vAlign w:val="center"/>
          </w:tcPr>
          <w:p w14:paraId="2CBEB3F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14:paraId="0456E32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14:paraId="725A005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140.96</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116.96</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24.00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发展与改革事务</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140.96</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116.96</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24.00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2010450</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事业运行</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140.96</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116.96</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24.00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54.68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54.68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54.68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54.68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住房公积金</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提租补贴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25.78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25.78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6F47FE99">
      <w:pPr>
        <w:widowControl w:val="0"/>
        <w:suppressAutoHyphens/>
        <w:bidi w:val="0"/>
        <w:spacing w:before="59" w:after="0"/>
        <w:ind w:left="57" w:right="0" w:firstLine="0"/>
        <w:jc w:val="left"/>
        <w:rPr>
          <w:rFonts w:hint="eastAsia" w:ascii="仿宋" w:hAnsi="仿宋" w:eastAsia="仿宋" w:cs="仿宋"/>
          <w:b/>
          <w:bCs/>
          <w:sz w:val="22"/>
          <w:szCs w:val="22"/>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14:paraId="76E67744">
        <w:tblPrEx>
          <w:tblCellMar>
            <w:top w:w="55" w:type="dxa"/>
            <w:left w:w="55" w:type="dxa"/>
            <w:bottom w:w="55" w:type="dxa"/>
            <w:right w:w="55" w:type="dxa"/>
          </w:tblCellMar>
        </w:tblPrEx>
        <w:trPr>
          <w:trHeight w:val="319" w:hRule="atLeast"/>
        </w:trPr>
        <w:tc>
          <w:tcPr>
            <w:tcW w:w="15789" w:type="dxa"/>
            <w:gridSpan w:val="4"/>
          </w:tcPr>
          <w:p w14:paraId="62E867CC">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14:paraId="1820DDA8">
        <w:tblPrEx>
          <w:tblCellMar>
            <w:top w:w="55" w:type="dxa"/>
            <w:left w:w="55" w:type="dxa"/>
            <w:bottom w:w="55" w:type="dxa"/>
            <w:right w:w="55" w:type="dxa"/>
          </w:tblCellMar>
        </w:tblPrEx>
        <w:trPr>
          <w:trHeight w:val="319" w:hRule="atLeast"/>
        </w:trPr>
        <w:tc>
          <w:tcPr>
            <w:tcW w:w="15789" w:type="dxa"/>
            <w:gridSpan w:val="4"/>
          </w:tcPr>
          <w:p w14:paraId="3FB28F56">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14:paraId="00B5EFFF">
        <w:tblPrEx>
          <w:tblCellMar>
            <w:top w:w="55" w:type="dxa"/>
            <w:left w:w="55" w:type="dxa"/>
            <w:bottom w:w="55" w:type="dxa"/>
            <w:right w:w="55" w:type="dxa"/>
          </w:tblCellMar>
        </w:tblPrEx>
        <w:trPr>
          <w:trHeight w:val="319" w:hRule="atLeast"/>
        </w:trPr>
        <w:tc>
          <w:tcPr>
            <w:tcW w:w="11890" w:type="dxa"/>
            <w:gridSpan w:val="3"/>
          </w:tcPr>
          <w:p w14:paraId="397DE508">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连云港市“一带一路”建设促进中心</w:t>
            </w:r>
          </w:p>
        </w:tc>
        <w:tc>
          <w:tcPr>
            <w:tcW w:w="3899" w:type="dxa"/>
            <w:vAlign w:val="center"/>
          </w:tcPr>
          <w:p w14:paraId="53F407E4">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8DBC8FC">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14:paraId="4627C4B5">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14:paraId="4ABF517F">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14:paraId="3B93835E">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14:paraId="3B46D60A">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14:paraId="39117F34">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14:paraId="360C3CE6">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14:paraId="0A0EBC85">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195.64</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195.64</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195.64</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140.96</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54.68</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3F2BB7B5">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14:paraId="52476F76">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14:paraId="50DBCC23">
            <w:pPr>
              <w:widowControl w:val="0"/>
              <w:jc w:val="right"/>
              <w:rPr>
                <w:rFonts w:hint="eastAsia" w:ascii="仿宋" w:hAnsi="仿宋" w:eastAsia="仿宋" w:cs="仿宋"/>
                <w:sz w:val="22"/>
                <w:szCs w:val="22"/>
              </w:rPr>
            </w:pPr>
            <w:r>
              <w:rPr>
                <w:rFonts w:hint="eastAsia" w:ascii="仿宋" w:hAnsi="仿宋" w:eastAsia="仿宋" w:cs="仿宋"/>
                <w:sz w:val="22"/>
                <w:szCs w:val="22"/>
              </w:rPr>
              <w:t>195.64</w:t>
            </w:r>
          </w:p>
        </w:tc>
        <w:tc>
          <w:tcPr>
            <w:tcW w:w="3943" w:type="dxa"/>
            <w:tcBorders>
              <w:left w:val="single" w:color="000000" w:sz="4" w:space="0"/>
              <w:bottom w:val="single" w:color="000000" w:sz="4" w:space="0"/>
            </w:tcBorders>
            <w:vAlign w:val="center"/>
          </w:tcPr>
          <w:p w14:paraId="72FA9CBD">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14:paraId="0A3CBB07">
            <w:pPr>
              <w:widowControl w:val="0"/>
              <w:jc w:val="right"/>
              <w:rPr>
                <w:rFonts w:hint="eastAsia" w:ascii="仿宋" w:hAnsi="仿宋" w:eastAsia="仿宋" w:cs="仿宋"/>
                <w:sz w:val="22"/>
                <w:szCs w:val="22"/>
              </w:rPr>
            </w:pPr>
            <w:r>
              <w:rPr>
                <w:rFonts w:hint="eastAsia" w:ascii="仿宋" w:hAnsi="仿宋" w:eastAsia="仿宋" w:cs="仿宋"/>
                <w:sz w:val="22"/>
                <w:szCs w:val="22"/>
              </w:rPr>
              <w:t>195.64</w:t>
            </w:r>
          </w:p>
        </w:tc>
      </w:tr>
    </w:tbl>
    <w:p w14:paraId="18BF5FBD">
      <w:pPr>
        <w:ind w:left="-220" w:leftChars="-100" w:firstLine="0" w:firstLineChars="0"/>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14:paraId="781504FE">
        <w:tblPrEx>
          <w:tblCellMar>
            <w:top w:w="55" w:type="dxa"/>
            <w:left w:w="55" w:type="dxa"/>
            <w:bottom w:w="55" w:type="dxa"/>
            <w:right w:w="55" w:type="dxa"/>
          </w:tblCellMar>
        </w:tblPrEx>
        <w:trPr>
          <w:trHeight w:val="321" w:hRule="atLeast"/>
        </w:trPr>
        <w:tc>
          <w:tcPr>
            <w:tcW w:w="15216" w:type="dxa"/>
            <w:gridSpan w:val="7"/>
            <w:vAlign w:val="center"/>
          </w:tcPr>
          <w:p w14:paraId="344B4167">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14:paraId="0DD1905D">
        <w:tblPrEx>
          <w:tblCellMar>
            <w:top w:w="55" w:type="dxa"/>
            <w:left w:w="55" w:type="dxa"/>
            <w:bottom w:w="55" w:type="dxa"/>
            <w:right w:w="55" w:type="dxa"/>
          </w:tblCellMar>
        </w:tblPrEx>
        <w:trPr>
          <w:trHeight w:val="321" w:hRule="atLeast"/>
        </w:trPr>
        <w:tc>
          <w:tcPr>
            <w:tcW w:w="15216" w:type="dxa"/>
            <w:gridSpan w:val="7"/>
          </w:tcPr>
          <w:p w14:paraId="3979B85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14:paraId="597F73CC">
        <w:tblPrEx>
          <w:tblCellMar>
            <w:top w:w="55" w:type="dxa"/>
            <w:left w:w="55" w:type="dxa"/>
            <w:bottom w:w="55" w:type="dxa"/>
            <w:right w:w="55" w:type="dxa"/>
          </w:tblCellMar>
        </w:tblPrEx>
        <w:trPr>
          <w:trHeight w:val="309" w:hRule="atLeast"/>
        </w:trPr>
        <w:tc>
          <w:tcPr>
            <w:tcW w:w="13552" w:type="dxa"/>
            <w:gridSpan w:val="6"/>
          </w:tcPr>
          <w:p w14:paraId="4FF30C2D">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连云港市“一带一路”建设促进中心</w:t>
            </w:r>
          </w:p>
        </w:tc>
        <w:tc>
          <w:tcPr>
            <w:tcW w:w="1664" w:type="dxa"/>
            <w:vAlign w:val="center"/>
          </w:tcPr>
          <w:p w14:paraId="3A0AD504">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72EB53EE">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14:paraId="6B53EBEE">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14:paraId="596BB34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14:paraId="7309852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14:paraId="358079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14:paraId="045615D7">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14:paraId="01EF94C3">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14:paraId="154AA0F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14:paraId="7690009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14:paraId="3FA268C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14:paraId="5B38143E">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14:paraId="4C4F172F">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14:paraId="4F619415">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14:paraId="39AA244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14:paraId="40F8EE40">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14:paraId="702733D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14:paraId="04A5033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195.64</w:t>
            </w:r>
          </w:p>
        </w:tc>
        <w:tc>
          <w:tcPr>
            <w:tcW w:w="1827" w:type="dxa"/>
            <w:tcBorders>
              <w:left w:val="single" w:color="000000" w:sz="6" w:space="0"/>
              <w:bottom w:val="single" w:color="000000" w:sz="6" w:space="0"/>
            </w:tcBorders>
          </w:tcPr>
          <w:p w14:paraId="72125376">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171.64</w:t>
            </w:r>
          </w:p>
        </w:tc>
        <w:tc>
          <w:tcPr>
            <w:tcW w:w="1813" w:type="dxa"/>
            <w:tcBorders>
              <w:left w:val="single" w:color="000000" w:sz="6" w:space="0"/>
              <w:bottom w:val="single" w:color="000000" w:sz="6" w:space="0"/>
            </w:tcBorders>
          </w:tcPr>
          <w:p w14:paraId="21468739">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160.44</w:t>
            </w:r>
          </w:p>
        </w:tc>
        <w:tc>
          <w:tcPr>
            <w:tcW w:w="1813" w:type="dxa"/>
            <w:tcBorders>
              <w:left w:val="single" w:color="000000" w:sz="6" w:space="0"/>
              <w:bottom w:val="single" w:color="000000" w:sz="6" w:space="0"/>
            </w:tcBorders>
          </w:tcPr>
          <w:p w14:paraId="3253527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11.20</w:t>
            </w:r>
          </w:p>
        </w:tc>
        <w:tc>
          <w:tcPr>
            <w:tcW w:w="1664" w:type="dxa"/>
            <w:tcBorders>
              <w:left w:val="single" w:color="000000" w:sz="6" w:space="0"/>
              <w:bottom w:val="single" w:color="000000" w:sz="6" w:space="0"/>
              <w:right w:val="single" w:color="000000" w:sz="6" w:space="0"/>
            </w:tcBorders>
          </w:tcPr>
          <w:p w14:paraId="1DC734D5">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24.00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140.96</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116.96</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105.76</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11.20</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24.00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发展与改革事务</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140.96</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116.96</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105.76</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11.20</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24.00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2010450</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事业运行</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140.96</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116.96</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105.76</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11.20</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24.00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54.68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54.68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54.68</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54.68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54.68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54.68</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28.90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28.90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28.90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提租补贴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25.78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25.78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25.78</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bl>
    <w:p w14:paraId="6144A040">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0A669AC6">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14:paraId="6C9496A1">
        <w:tblPrEx>
          <w:tblCellMar>
            <w:top w:w="55" w:type="dxa"/>
            <w:left w:w="55" w:type="dxa"/>
            <w:bottom w:w="55" w:type="dxa"/>
            <w:right w:w="55" w:type="dxa"/>
          </w:tblCellMar>
        </w:tblPrEx>
        <w:trPr>
          <w:trHeight w:val="319" w:hRule="atLeast"/>
        </w:trPr>
        <w:tc>
          <w:tcPr>
            <w:tcW w:w="10817" w:type="dxa"/>
            <w:gridSpan w:val="5"/>
            <w:vAlign w:val="center"/>
          </w:tcPr>
          <w:p w14:paraId="5B4201F6">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14:paraId="16CF153D">
        <w:tblPrEx>
          <w:tblCellMar>
            <w:top w:w="55" w:type="dxa"/>
            <w:left w:w="55" w:type="dxa"/>
            <w:bottom w:w="55" w:type="dxa"/>
            <w:right w:w="55" w:type="dxa"/>
          </w:tblCellMar>
        </w:tblPrEx>
        <w:trPr>
          <w:trHeight w:val="319" w:hRule="atLeast"/>
        </w:trPr>
        <w:tc>
          <w:tcPr>
            <w:tcW w:w="10817" w:type="dxa"/>
            <w:gridSpan w:val="5"/>
          </w:tcPr>
          <w:p w14:paraId="2DF9A6DA">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14:paraId="61428C1F">
        <w:tblPrEx>
          <w:tblCellMar>
            <w:top w:w="55" w:type="dxa"/>
            <w:left w:w="55" w:type="dxa"/>
            <w:bottom w:w="55" w:type="dxa"/>
            <w:right w:w="55" w:type="dxa"/>
          </w:tblCellMar>
        </w:tblPrEx>
        <w:trPr>
          <w:trHeight w:val="319" w:hRule="atLeast"/>
        </w:trPr>
        <w:tc>
          <w:tcPr>
            <w:tcW w:w="8760" w:type="dxa"/>
            <w:gridSpan w:val="4"/>
          </w:tcPr>
          <w:p w14:paraId="5F7506DC">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连云港市“一带一路”建设促进中心</w:t>
            </w:r>
          </w:p>
        </w:tc>
        <w:tc>
          <w:tcPr>
            <w:tcW w:w="2057" w:type="dxa"/>
            <w:vAlign w:val="center"/>
          </w:tcPr>
          <w:p w14:paraId="6C4E20D2">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22FFB9C6">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14:paraId="02A4A69D">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14:paraId="3A654AB3">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14:paraId="3135FA81">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14:paraId="20B4517E">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14:paraId="0810D023">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14:paraId="7B983408">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14:paraId="15CA38C0">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14:paraId="1888E2CD">
            <w:pPr>
              <w:pStyle w:val="22"/>
              <w:widowControl w:val="0"/>
              <w:jc w:val="center"/>
              <w:rPr>
                <w:rFonts w:hint="eastAsia" w:ascii="仿宋" w:hAnsi="仿宋" w:eastAsia="仿宋" w:cs="仿宋"/>
              </w:rPr>
            </w:pPr>
            <w:r>
              <w:rPr>
                <w:rFonts w:hint="eastAsia" w:ascii="仿宋" w:hAnsi="仿宋" w:eastAsia="仿宋" w:cs="仿宋"/>
              </w:rPr>
              <w:t>公用经费</w:t>
            </w:r>
          </w:p>
        </w:tc>
      </w:tr>
      <w:tr w14:paraId="39E08D31">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14:paraId="2046E541">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14:paraId="0DAA66E4">
            <w:pPr>
              <w:pStyle w:val="22"/>
              <w:widowControl w:val="0"/>
              <w:jc w:val="right"/>
              <w:rPr>
                <w:rFonts w:hint="eastAsia" w:ascii="仿宋" w:hAnsi="仿宋" w:eastAsia="仿宋" w:cs="仿宋"/>
              </w:rPr>
            </w:pPr>
            <w:r>
              <w:rPr>
                <w:rFonts w:hint="eastAsia" w:ascii="仿宋" w:hAnsi="仿宋" w:eastAsia="仿宋" w:cs="仿宋"/>
              </w:rPr>
              <w:t>171.64</w:t>
            </w:r>
          </w:p>
        </w:tc>
        <w:tc>
          <w:tcPr>
            <w:tcW w:w="2040" w:type="dxa"/>
            <w:tcBorders>
              <w:left w:val="single" w:color="000000" w:sz="4" w:space="0"/>
              <w:bottom w:val="single" w:color="000000" w:sz="4" w:space="0"/>
            </w:tcBorders>
            <w:vAlign w:val="center"/>
          </w:tcPr>
          <w:p w14:paraId="544608F4">
            <w:pPr>
              <w:pStyle w:val="22"/>
              <w:widowControl w:val="0"/>
              <w:jc w:val="right"/>
              <w:rPr>
                <w:rFonts w:hint="eastAsia" w:ascii="仿宋" w:hAnsi="仿宋" w:eastAsia="仿宋" w:cs="仿宋"/>
              </w:rPr>
            </w:pPr>
            <w:r>
              <w:rPr>
                <w:rFonts w:hint="eastAsia" w:ascii="仿宋" w:hAnsi="仿宋" w:eastAsia="仿宋" w:cs="仿宋"/>
              </w:rPr>
              <w:t>160.44</w:t>
            </w:r>
          </w:p>
        </w:tc>
        <w:tc>
          <w:tcPr>
            <w:tcW w:w="2057" w:type="dxa"/>
            <w:tcBorders>
              <w:left w:val="single" w:color="000000" w:sz="4" w:space="0"/>
              <w:bottom w:val="single" w:color="000000" w:sz="4" w:space="0"/>
              <w:right w:val="single" w:color="000000" w:sz="4" w:space="0"/>
            </w:tcBorders>
            <w:vAlign w:val="center"/>
          </w:tcPr>
          <w:p w14:paraId="4F5B871A">
            <w:pPr>
              <w:pStyle w:val="22"/>
              <w:widowControl w:val="0"/>
              <w:jc w:val="right"/>
              <w:rPr>
                <w:rFonts w:hint="eastAsia" w:ascii="仿宋" w:hAnsi="仿宋" w:eastAsia="仿宋" w:cs="仿宋"/>
              </w:rPr>
            </w:pPr>
            <w:r>
              <w:rPr>
                <w:rFonts w:hint="eastAsia" w:ascii="仿宋" w:hAnsi="仿宋" w:eastAsia="仿宋" w:cs="仿宋"/>
              </w:rPr>
              <w:t>11.20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160.44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160.44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30.88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30.88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48.70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48.70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奖金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21.94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21.94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13.42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13.42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6.71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6.71</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8.39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8.39</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1.50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1.50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28.90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28.90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11.20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11.20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5.52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5.52</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培训费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1.68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1.68</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3.00</w:t>
            </w:r>
          </w:p>
        </w:tc>
      </w:tr>
    </w:tbl>
    <w:p w14:paraId="69219CD5">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14:paraId="494EE97C">
        <w:tblPrEx>
          <w:tblCellMar>
            <w:top w:w="55" w:type="dxa"/>
            <w:left w:w="55" w:type="dxa"/>
            <w:bottom w:w="55" w:type="dxa"/>
            <w:right w:w="55" w:type="dxa"/>
          </w:tblCellMar>
        </w:tblPrEx>
        <w:trPr>
          <w:trHeight w:val="321" w:hRule="atLeast"/>
        </w:trPr>
        <w:tc>
          <w:tcPr>
            <w:tcW w:w="15216" w:type="dxa"/>
            <w:gridSpan w:val="7"/>
            <w:vAlign w:val="center"/>
          </w:tcPr>
          <w:p w14:paraId="51EC2F5C">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14:paraId="2FDF7549">
        <w:tblPrEx>
          <w:tblCellMar>
            <w:top w:w="55" w:type="dxa"/>
            <w:left w:w="55" w:type="dxa"/>
            <w:bottom w:w="55" w:type="dxa"/>
            <w:right w:w="55" w:type="dxa"/>
          </w:tblCellMar>
        </w:tblPrEx>
        <w:trPr>
          <w:trHeight w:val="321" w:hRule="atLeast"/>
        </w:trPr>
        <w:tc>
          <w:tcPr>
            <w:tcW w:w="15216" w:type="dxa"/>
            <w:gridSpan w:val="7"/>
          </w:tcPr>
          <w:p w14:paraId="72828270">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14:paraId="586FA423">
        <w:tblPrEx>
          <w:tblCellMar>
            <w:top w:w="55" w:type="dxa"/>
            <w:left w:w="55" w:type="dxa"/>
            <w:bottom w:w="55" w:type="dxa"/>
            <w:right w:w="55" w:type="dxa"/>
          </w:tblCellMar>
        </w:tblPrEx>
        <w:trPr>
          <w:trHeight w:val="288" w:hRule="atLeast"/>
        </w:trPr>
        <w:tc>
          <w:tcPr>
            <w:tcW w:w="13566" w:type="dxa"/>
            <w:gridSpan w:val="6"/>
          </w:tcPr>
          <w:p w14:paraId="5561AF88">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连云港市“一带一路”建设促进中心</w:t>
            </w:r>
          </w:p>
        </w:tc>
        <w:tc>
          <w:tcPr>
            <w:tcW w:w="1650" w:type="dxa"/>
            <w:vAlign w:val="center"/>
          </w:tcPr>
          <w:p w14:paraId="704B056B">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099C2DA8">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14:paraId="4E3D23C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14:paraId="6BBC9BFE">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14:paraId="4E56B37C">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14:paraId="71663243">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14:paraId="05D3C45D">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14:paraId="31087D9D">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14:paraId="2A2EB686">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14:paraId="7B9A2FE2">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14:paraId="1F65438A">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14:paraId="678B5745">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14:paraId="14B7F20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14:paraId="3140B1B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14:paraId="00D137D4">
            <w:pPr>
              <w:widowControl w:val="0"/>
              <w:jc w:val="left"/>
              <w:rPr>
                <w:rFonts w:hint="eastAsia" w:ascii="仿宋" w:hAnsi="仿宋" w:eastAsia="仿宋" w:cs="仿宋"/>
                <w:sz w:val="22"/>
                <w:szCs w:val="22"/>
              </w:rPr>
            </w:pPr>
          </w:p>
        </w:tc>
      </w:tr>
      <w:tr w14:paraId="2919B456">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14:paraId="4007DAB5">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14:paraId="5E2CD93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195.64</w:t>
            </w:r>
          </w:p>
        </w:tc>
        <w:tc>
          <w:tcPr>
            <w:tcW w:w="1693" w:type="dxa"/>
            <w:tcBorders>
              <w:left w:val="single" w:color="000000" w:sz="6" w:space="0"/>
              <w:bottom w:val="single" w:color="000000" w:sz="6" w:space="0"/>
            </w:tcBorders>
          </w:tcPr>
          <w:p w14:paraId="772ED10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171.64</w:t>
            </w:r>
          </w:p>
        </w:tc>
        <w:tc>
          <w:tcPr>
            <w:tcW w:w="1987" w:type="dxa"/>
            <w:tcBorders>
              <w:left w:val="single" w:color="000000" w:sz="6" w:space="0"/>
              <w:bottom w:val="single" w:color="000000" w:sz="6" w:space="0"/>
            </w:tcBorders>
          </w:tcPr>
          <w:p w14:paraId="5BD8E28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160.44</w:t>
            </w:r>
          </w:p>
        </w:tc>
        <w:tc>
          <w:tcPr>
            <w:tcW w:w="1827" w:type="dxa"/>
            <w:tcBorders>
              <w:left w:val="single" w:color="000000" w:sz="6" w:space="0"/>
              <w:bottom w:val="single" w:color="000000" w:sz="6" w:space="0"/>
            </w:tcBorders>
          </w:tcPr>
          <w:p w14:paraId="2831BE4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11.20</w:t>
            </w:r>
          </w:p>
        </w:tc>
        <w:tc>
          <w:tcPr>
            <w:tcW w:w="1650" w:type="dxa"/>
            <w:tcBorders>
              <w:left w:val="single" w:color="000000" w:sz="6" w:space="0"/>
              <w:bottom w:val="single" w:color="000000" w:sz="6" w:space="0"/>
              <w:right w:val="single" w:color="000000" w:sz="6" w:space="0"/>
            </w:tcBorders>
          </w:tcPr>
          <w:p w14:paraId="2A55F17D">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24.00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140.96</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116.96</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105.76</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11.20</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24.00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发展与改革事务</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140.96</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116.96</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105.76</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11.20</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24.00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2010450</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事业运行</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140.96</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116.96</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105.76</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11.20</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24.00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54.68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54.68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54.68</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54.68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54.68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54.68</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提租补贴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25.78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25.78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25.78</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5914C3F0">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14:paraId="484721E5">
        <w:tblPrEx>
          <w:tblCellMar>
            <w:top w:w="55" w:type="dxa"/>
            <w:left w:w="55" w:type="dxa"/>
            <w:bottom w:w="55" w:type="dxa"/>
            <w:right w:w="55" w:type="dxa"/>
          </w:tblCellMar>
        </w:tblPrEx>
        <w:trPr>
          <w:trHeight w:val="319" w:hRule="atLeast"/>
        </w:trPr>
        <w:tc>
          <w:tcPr>
            <w:tcW w:w="10954" w:type="dxa"/>
            <w:gridSpan w:val="5"/>
          </w:tcPr>
          <w:p w14:paraId="16647F55">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14:paraId="002F78A7">
        <w:tblPrEx>
          <w:tblCellMar>
            <w:top w:w="55" w:type="dxa"/>
            <w:left w:w="55" w:type="dxa"/>
            <w:bottom w:w="55" w:type="dxa"/>
            <w:right w:w="55" w:type="dxa"/>
          </w:tblCellMar>
        </w:tblPrEx>
        <w:trPr>
          <w:trHeight w:val="189" w:hRule="atLeast"/>
        </w:trPr>
        <w:tc>
          <w:tcPr>
            <w:tcW w:w="10954" w:type="dxa"/>
            <w:gridSpan w:val="5"/>
          </w:tcPr>
          <w:p w14:paraId="2FCCAE70">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14:paraId="7162EBB8">
        <w:tblPrEx>
          <w:tblCellMar>
            <w:top w:w="55" w:type="dxa"/>
            <w:left w:w="55" w:type="dxa"/>
            <w:bottom w:w="55" w:type="dxa"/>
            <w:right w:w="55" w:type="dxa"/>
          </w:tblCellMar>
        </w:tblPrEx>
        <w:trPr>
          <w:trHeight w:val="138" w:hRule="atLeast"/>
        </w:trPr>
        <w:tc>
          <w:tcPr>
            <w:tcW w:w="9281" w:type="dxa"/>
            <w:gridSpan w:val="4"/>
            <w:vAlign w:val="center"/>
          </w:tcPr>
          <w:p w14:paraId="17C5FA13">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连云港市“一带一路”建设促进中心</w:t>
            </w:r>
          </w:p>
        </w:tc>
        <w:tc>
          <w:tcPr>
            <w:tcW w:w="1673" w:type="dxa"/>
            <w:vAlign w:val="center"/>
          </w:tcPr>
          <w:p w14:paraId="2960F62D">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31596070">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14:paraId="45445754">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14:paraId="292CB882">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14:paraId="634ABDFF">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14:paraId="059ADFB9">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14:paraId="35A783EC">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14:paraId="11A39AD5">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14:paraId="7319D78B">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14:paraId="38FEFFB9">
            <w:pPr>
              <w:pStyle w:val="22"/>
              <w:widowControl w:val="0"/>
              <w:jc w:val="center"/>
              <w:rPr>
                <w:rFonts w:hint="eastAsia" w:ascii="仿宋" w:hAnsi="仿宋" w:eastAsia="仿宋" w:cs="仿宋"/>
              </w:rPr>
            </w:pPr>
            <w:r>
              <w:rPr>
                <w:rFonts w:hint="eastAsia" w:ascii="仿宋" w:hAnsi="仿宋" w:eastAsia="仿宋" w:cs="仿宋"/>
              </w:rPr>
              <w:t>公用经费</w:t>
            </w:r>
          </w:p>
        </w:tc>
      </w:tr>
      <w:tr w14:paraId="23A107EC">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14:paraId="39BF1B54">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14:paraId="056B7E8D">
            <w:pPr>
              <w:pStyle w:val="22"/>
              <w:widowControl w:val="0"/>
              <w:jc w:val="right"/>
              <w:rPr>
                <w:rFonts w:hint="eastAsia" w:ascii="仿宋" w:hAnsi="仿宋" w:eastAsia="仿宋" w:cs="仿宋"/>
              </w:rPr>
            </w:pPr>
            <w:r>
              <w:rPr>
                <w:rFonts w:hint="eastAsia" w:ascii="仿宋" w:hAnsi="仿宋" w:eastAsia="仿宋" w:cs="仿宋"/>
              </w:rPr>
              <w:t>171.64</w:t>
            </w:r>
          </w:p>
        </w:tc>
        <w:tc>
          <w:tcPr>
            <w:tcW w:w="1974" w:type="dxa"/>
            <w:tcBorders>
              <w:left w:val="single" w:color="000000" w:sz="4" w:space="0"/>
              <w:bottom w:val="single" w:color="000000" w:sz="4" w:space="0"/>
            </w:tcBorders>
            <w:vAlign w:val="center"/>
          </w:tcPr>
          <w:p w14:paraId="386099AD">
            <w:pPr>
              <w:pStyle w:val="22"/>
              <w:widowControl w:val="0"/>
              <w:jc w:val="right"/>
              <w:rPr>
                <w:rFonts w:hint="eastAsia" w:ascii="仿宋" w:hAnsi="仿宋" w:eastAsia="仿宋" w:cs="仿宋"/>
              </w:rPr>
            </w:pPr>
            <w:r>
              <w:rPr>
                <w:rFonts w:hint="eastAsia" w:ascii="仿宋" w:hAnsi="仿宋" w:eastAsia="仿宋" w:cs="仿宋"/>
              </w:rPr>
              <w:t>160.44</w:t>
            </w:r>
          </w:p>
        </w:tc>
        <w:tc>
          <w:tcPr>
            <w:tcW w:w="1673" w:type="dxa"/>
            <w:tcBorders>
              <w:left w:val="single" w:color="000000" w:sz="4" w:space="0"/>
              <w:bottom w:val="single" w:color="000000" w:sz="4" w:space="0"/>
              <w:right w:val="single" w:color="000000" w:sz="4" w:space="0"/>
            </w:tcBorders>
            <w:vAlign w:val="center"/>
          </w:tcPr>
          <w:p w14:paraId="01C226C0">
            <w:pPr>
              <w:pStyle w:val="22"/>
              <w:widowControl w:val="0"/>
              <w:jc w:val="right"/>
              <w:rPr>
                <w:rFonts w:hint="eastAsia" w:ascii="仿宋" w:hAnsi="仿宋" w:eastAsia="仿宋" w:cs="仿宋"/>
              </w:rPr>
            </w:pPr>
            <w:r>
              <w:rPr>
                <w:rFonts w:hint="eastAsia" w:ascii="仿宋" w:hAnsi="仿宋" w:eastAsia="仿宋" w:cs="仿宋"/>
              </w:rPr>
              <w:t>11.20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160.44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160.44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30.88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30.88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48.70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48.70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奖金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21.94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21.94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13.42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13.42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6.71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6.71</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8.39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8.39</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1.50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1.50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28.90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28.90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11.20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11.20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5.52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5.52</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培训费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1.68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1.68</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3.00</w:t>
            </w:r>
          </w:p>
        </w:tc>
      </w:tr>
    </w:tbl>
    <w:p w14:paraId="5ADFF928">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14:paraId="38FA862D">
        <w:tblPrEx>
          <w:tblCellMar>
            <w:top w:w="55" w:type="dxa"/>
            <w:left w:w="55" w:type="dxa"/>
            <w:bottom w:w="55" w:type="dxa"/>
            <w:right w:w="55" w:type="dxa"/>
          </w:tblCellMar>
        </w:tblPrEx>
        <w:trPr>
          <w:trHeight w:val="321" w:hRule="atLeast"/>
        </w:trPr>
        <w:tc>
          <w:tcPr>
            <w:tcW w:w="15909" w:type="dxa"/>
            <w:gridSpan w:val="8"/>
          </w:tcPr>
          <w:p w14:paraId="11F1E16B">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14:paraId="73844359">
        <w:tblPrEx>
          <w:tblCellMar>
            <w:top w:w="55" w:type="dxa"/>
            <w:left w:w="55" w:type="dxa"/>
            <w:bottom w:w="55" w:type="dxa"/>
            <w:right w:w="55" w:type="dxa"/>
          </w:tblCellMar>
        </w:tblPrEx>
        <w:trPr>
          <w:trHeight w:val="207" w:hRule="atLeast"/>
        </w:trPr>
        <w:tc>
          <w:tcPr>
            <w:tcW w:w="15909" w:type="dxa"/>
            <w:gridSpan w:val="8"/>
          </w:tcPr>
          <w:p w14:paraId="22B22F3F">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14:paraId="2F8DA7EF">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14:paraId="6A83A7CB">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连云港市“一带一路”建设促进中心</w:t>
            </w:r>
          </w:p>
        </w:tc>
        <w:tc>
          <w:tcPr>
            <w:tcW w:w="3840" w:type="dxa"/>
            <w:gridSpan w:val="2"/>
            <w:tcBorders>
              <w:bottom w:val="single" w:color="auto" w:sz="4" w:space="0"/>
            </w:tcBorders>
            <w:vAlign w:val="center"/>
          </w:tcPr>
          <w:p w14:paraId="362828F0">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1E8B6C91">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14:paraId="7EF73657">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14:paraId="7191D0ED">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14:paraId="237531A7">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14:paraId="7A1094E9">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14:paraId="197F2909">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14:paraId="414C9174">
            <w:pPr>
              <w:pStyle w:val="22"/>
              <w:widowControl w:val="0"/>
              <w:jc w:val="center"/>
              <w:rPr>
                <w:rFonts w:hint="eastAsia" w:ascii="仿宋" w:hAnsi="仿宋" w:eastAsia="仿宋" w:cs="仿宋"/>
                <w:sz w:val="20"/>
              </w:rPr>
            </w:pPr>
            <w:r>
              <w:rPr>
                <w:rFonts w:hint="eastAsia" w:ascii="仿宋" w:hAnsi="仿宋" w:eastAsia="仿宋" w:cs="仿宋"/>
              </w:rPr>
              <w:t>培训费</w:t>
            </w:r>
          </w:p>
        </w:tc>
      </w:tr>
      <w:tr w14:paraId="0D589B7C">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14:paraId="1BFDF809">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14:paraId="6170C8C2">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14:paraId="2DAB6B6B">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14:paraId="6D34F0AB">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14:paraId="6F0F2BAC">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14:paraId="48B4809D">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14:paraId="4097DD05">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14:paraId="4A5FCFD1">
            <w:pPr>
              <w:widowControl w:val="0"/>
              <w:jc w:val="left"/>
              <w:rPr>
                <w:rFonts w:hint="eastAsia" w:ascii="仿宋" w:hAnsi="仿宋" w:eastAsia="仿宋" w:cs="仿宋"/>
                <w:sz w:val="2"/>
                <w:szCs w:val="2"/>
              </w:rPr>
            </w:pPr>
          </w:p>
        </w:tc>
      </w:tr>
      <w:tr w14:paraId="1E0DC4E9">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14:paraId="5FAC3463">
            <w:pPr>
              <w:pStyle w:val="22"/>
              <w:widowControl w:val="0"/>
              <w:jc w:val="right"/>
              <w:rPr>
                <w:rFonts w:hint="eastAsia" w:ascii="仿宋" w:hAnsi="仿宋" w:eastAsia="仿宋" w:cs="仿宋"/>
              </w:rPr>
            </w:pPr>
            <w:r>
              <w:rPr>
                <w:rFonts w:hint="eastAsia" w:ascii="仿宋" w:hAnsi="仿宋" w:eastAsia="仿宋" w:cs="仿宋"/>
              </w:rPr>
              <w:t>0.00</w:t>
            </w:r>
          </w:p>
        </w:tc>
        <w:tc>
          <w:tcPr>
            <w:tcW w:w="2332" w:type="dxa"/>
            <w:tcBorders>
              <w:top w:val="single" w:color="auto" w:sz="4" w:space="0"/>
              <w:left w:val="single" w:color="auto" w:sz="4" w:space="0"/>
              <w:bottom w:val="single" w:color="auto" w:sz="4" w:space="0"/>
              <w:right w:val="single" w:color="auto" w:sz="4" w:space="0"/>
            </w:tcBorders>
            <w:vAlign w:val="center"/>
          </w:tcPr>
          <w:p w14:paraId="70149B39">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14:paraId="49C502E0">
            <w:pPr>
              <w:pStyle w:val="22"/>
              <w:widowControl w:val="0"/>
              <w:jc w:val="right"/>
              <w:rPr>
                <w:rFonts w:hint="eastAsia" w:ascii="仿宋" w:hAnsi="仿宋" w:eastAsia="仿宋" w:cs="仿宋"/>
              </w:rPr>
            </w:pPr>
            <w:r>
              <w:rPr>
                <w:rFonts w:hint="eastAsia" w:ascii="仿宋" w:hAnsi="仿宋" w:eastAsia="仿宋" w:cs="仿宋"/>
              </w:rPr>
              <w:t>0.00</w:t>
            </w:r>
          </w:p>
        </w:tc>
        <w:tc>
          <w:tcPr>
            <w:tcW w:w="1697" w:type="dxa"/>
            <w:tcBorders>
              <w:top w:val="single" w:color="auto" w:sz="4" w:space="0"/>
              <w:left w:val="single" w:color="auto" w:sz="4" w:space="0"/>
              <w:bottom w:val="single" w:color="auto" w:sz="4" w:space="0"/>
              <w:right w:val="single" w:color="auto" w:sz="4" w:space="0"/>
            </w:tcBorders>
            <w:vAlign w:val="center"/>
          </w:tcPr>
          <w:p w14:paraId="10F36C48">
            <w:pPr>
              <w:pStyle w:val="22"/>
              <w:widowControl w:val="0"/>
              <w:jc w:val="right"/>
              <w:rPr>
                <w:rFonts w:hint="eastAsia" w:ascii="仿宋" w:hAnsi="仿宋" w:eastAsia="仿宋" w:cs="仿宋"/>
              </w:rPr>
            </w:pPr>
            <w:r>
              <w:rPr>
                <w:rFonts w:hint="eastAsia" w:ascii="仿宋" w:hAnsi="仿宋" w:eastAsia="仿宋" w:cs="仿宋"/>
              </w:rPr>
              <w:t>0.00</w:t>
            </w:r>
          </w:p>
        </w:tc>
        <w:tc>
          <w:tcPr>
            <w:tcW w:w="1680" w:type="dxa"/>
            <w:tcBorders>
              <w:top w:val="single" w:color="auto" w:sz="4" w:space="0"/>
              <w:left w:val="single" w:color="auto" w:sz="4" w:space="0"/>
              <w:bottom w:val="single" w:color="auto" w:sz="4" w:space="0"/>
              <w:right w:val="single" w:color="auto" w:sz="4" w:space="0"/>
            </w:tcBorders>
            <w:vAlign w:val="center"/>
          </w:tcPr>
          <w:p w14:paraId="021B69C0">
            <w:pPr>
              <w:pStyle w:val="22"/>
              <w:widowControl w:val="0"/>
              <w:jc w:val="right"/>
              <w:rPr>
                <w:rFonts w:hint="eastAsia" w:ascii="仿宋" w:hAnsi="仿宋" w:eastAsia="仿宋" w:cs="仿宋"/>
              </w:rPr>
            </w:pPr>
            <w:r>
              <w:rPr>
                <w:rFonts w:hint="eastAsia" w:ascii="仿宋" w:hAnsi="仿宋" w:eastAsia="仿宋" w:cs="仿宋"/>
              </w:rPr>
              <w:t>0.00</w:t>
            </w:r>
          </w:p>
        </w:tc>
        <w:tc>
          <w:tcPr>
            <w:tcW w:w="1852" w:type="dxa"/>
            <w:tcBorders>
              <w:top w:val="single" w:color="auto" w:sz="4" w:space="0"/>
              <w:left w:val="single" w:color="auto" w:sz="4" w:space="0"/>
              <w:bottom w:val="single" w:color="auto" w:sz="4" w:space="0"/>
              <w:right w:val="single" w:color="auto" w:sz="4" w:space="0"/>
            </w:tcBorders>
            <w:vAlign w:val="center"/>
          </w:tcPr>
          <w:p w14:paraId="2A253F9B">
            <w:pPr>
              <w:pStyle w:val="22"/>
              <w:widowControl w:val="0"/>
              <w:jc w:val="right"/>
              <w:rPr>
                <w:rFonts w:hint="eastAsia" w:ascii="仿宋" w:hAnsi="仿宋" w:eastAsia="仿宋" w:cs="仿宋"/>
              </w:rPr>
            </w:pPr>
            <w:r>
              <w:rPr>
                <w:rFonts w:hint="eastAsia" w:ascii="仿宋" w:hAnsi="仿宋" w:eastAsia="仿宋" w:cs="仿宋"/>
              </w:rPr>
              <w:t>0.00</w:t>
            </w:r>
          </w:p>
        </w:tc>
        <w:tc>
          <w:tcPr>
            <w:tcW w:w="2057" w:type="dxa"/>
            <w:tcBorders>
              <w:top w:val="single" w:color="auto" w:sz="4" w:space="0"/>
              <w:left w:val="single" w:color="auto" w:sz="4" w:space="0"/>
              <w:bottom w:val="single" w:color="auto" w:sz="4" w:space="0"/>
              <w:right w:val="single" w:color="auto" w:sz="4" w:space="0"/>
            </w:tcBorders>
            <w:vAlign w:val="center"/>
          </w:tcPr>
          <w:p w14:paraId="209A7A6A">
            <w:pPr>
              <w:pStyle w:val="22"/>
              <w:widowControl w:val="0"/>
              <w:jc w:val="right"/>
              <w:rPr>
                <w:rFonts w:hint="eastAsia" w:ascii="仿宋" w:hAnsi="仿宋" w:eastAsia="仿宋" w:cs="仿宋"/>
              </w:rPr>
            </w:pPr>
            <w:r>
              <w:rPr>
                <w:rFonts w:hint="eastAsia" w:ascii="仿宋" w:hAnsi="仿宋" w:eastAsia="仿宋" w:cs="仿宋"/>
              </w:rPr>
              <w:t>0.00</w:t>
            </w:r>
          </w:p>
        </w:tc>
        <w:tc>
          <w:tcPr>
            <w:tcW w:w="1783" w:type="dxa"/>
            <w:tcBorders>
              <w:top w:val="single" w:color="auto" w:sz="4" w:space="0"/>
              <w:left w:val="single" w:color="auto" w:sz="4" w:space="0"/>
              <w:bottom w:val="single" w:color="auto" w:sz="4" w:space="0"/>
              <w:right w:val="single" w:color="auto" w:sz="4" w:space="0"/>
            </w:tcBorders>
            <w:vAlign w:val="center"/>
          </w:tcPr>
          <w:p w14:paraId="0455D567">
            <w:pPr>
              <w:pStyle w:val="22"/>
              <w:widowControl w:val="0"/>
              <w:jc w:val="right"/>
              <w:rPr>
                <w:rFonts w:hint="eastAsia" w:ascii="仿宋" w:hAnsi="仿宋" w:eastAsia="仿宋" w:cs="仿宋"/>
              </w:rPr>
            </w:pPr>
            <w:r>
              <w:rPr>
                <w:rFonts w:hint="eastAsia" w:ascii="仿宋" w:hAnsi="仿宋" w:eastAsia="仿宋" w:cs="仿宋"/>
              </w:rPr>
              <w:t>1.00</w:t>
            </w:r>
          </w:p>
        </w:tc>
      </w:tr>
    </w:tbl>
    <w:p w14:paraId="633D90CA">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6"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14:paraId="62805DB4">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5636E86">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14:paraId="6EED4EA3">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C7C957B">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14:paraId="51688803">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14:paraId="7A598C4F">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连云港市“一带一路”建设促进中心</w:t>
            </w:r>
          </w:p>
        </w:tc>
        <w:tc>
          <w:tcPr>
            <w:tcW w:w="2485" w:type="dxa"/>
            <w:tcBorders>
              <w:top w:val="nil"/>
              <w:left w:val="nil"/>
              <w:bottom w:val="single" w:color="auto" w:sz="4" w:space="0"/>
              <w:right w:val="nil"/>
            </w:tcBorders>
            <w:vAlign w:val="center"/>
          </w:tcPr>
          <w:p w14:paraId="3147BBD4">
            <w:pPr>
              <w:pStyle w:val="22"/>
              <w:widowControl w:val="0"/>
              <w:jc w:val="right"/>
              <w:rPr>
                <w:rFonts w:hint="eastAsia" w:ascii="仿宋" w:hAnsi="仿宋" w:eastAsia="仿宋" w:cs="仿宋"/>
              </w:rPr>
            </w:pPr>
            <w:r>
              <w:rPr>
                <w:rFonts w:hint="eastAsia" w:ascii="仿宋" w:hAnsi="仿宋" w:eastAsia="仿宋" w:cs="仿宋"/>
              </w:rPr>
              <w:t>单位：万元</w:t>
            </w:r>
          </w:p>
        </w:tc>
      </w:tr>
      <w:tr w14:paraId="36644733">
        <w:trPr>
          <w:trHeight w:val="187" w:hRule="atLeast"/>
        </w:trPr>
        <w:tc>
          <w:tcPr>
            <w:tcW w:w="1618" w:type="dxa"/>
            <w:vMerge w:val="restart"/>
            <w:tcBorders>
              <w:top w:val="single" w:color="auto" w:sz="4" w:space="0"/>
              <w:left w:val="single" w:color="auto" w:sz="4" w:space="0"/>
              <w:right w:val="single" w:color="auto" w:sz="4" w:space="0"/>
            </w:tcBorders>
            <w:vAlign w:val="center"/>
          </w:tcPr>
          <w:p w14:paraId="139A3874">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14:paraId="699CEF7D">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14:paraId="696DDF51">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14:paraId="2A031337">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14:paraId="0291B8E1">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14:paraId="40D2FDA2">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14:paraId="7625D4FC">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14:paraId="509FCBF0">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14:paraId="7EAB88D3">
            <w:pPr>
              <w:pStyle w:val="22"/>
              <w:widowControl w:val="0"/>
              <w:jc w:val="center"/>
              <w:rPr>
                <w:rFonts w:hint="eastAsia" w:ascii="仿宋" w:hAnsi="仿宋" w:eastAsia="仿宋" w:cs="仿宋"/>
              </w:rPr>
            </w:pPr>
            <w:r>
              <w:rPr>
                <w:rFonts w:hint="eastAsia" w:ascii="仿宋" w:hAnsi="仿宋" w:eastAsia="仿宋" w:cs="仿宋"/>
              </w:rPr>
              <w:t>项目支出</w:t>
            </w:r>
          </w:p>
        </w:tc>
      </w:tr>
      <w:tr w14:paraId="5A7DB80A">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14:paraId="14C9CFFF">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14:paraId="215C3078">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14:paraId="430CBA39">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E533D5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755F292C">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6E6DB1B1">
      <w:pPr>
        <w:numPr>
          <w:ilvl w:val="0"/>
          <w:numId w:val="0"/>
        </w:numPr>
        <w:spacing w:before="25" w:after="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
      </w:r>
      <w:r>
        <w:rPr>
          <w:rFonts w:hint="eastAsia" w:ascii="仿宋" w:hAnsi="仿宋" w:eastAsia="仿宋" w:cs="仿宋"/>
          <w:b/>
          <w:bCs/>
          <w:sz w:val="22"/>
          <w:szCs w:val="22"/>
        </w:rPr>
        <w:t>注：</w:t>
      </w:r>
      <w:r>
        <w:rPr>
          <w:rFonts w:hint="eastAsia" w:ascii="仿宋" w:hAnsi="仿宋" w:eastAsia="仿宋" w:cs="仿宋"/>
          <w:b/>
          <w:bCs/>
          <w:sz w:val="22"/>
          <w:szCs w:val="22"/>
          <w:lang w:val="en-US" w:eastAsia="zh-CN"/>
          <w:u/>
        </w:rPr>
        <w:t>本</w:t>
      </w:r>
      <w:r>
        <w:rPr>
          <w:b w:val="on"/>
          <w:rFonts w:ascii="仿宋" w:eastAsia="仿宋" w:hAnsi="仿宋" w:cs="仿宋"/>
          <w:sz w:val="22"/>
          <w:u w:color="auto"/>
        </w:rPr>
        <w:t>单位</w:t>
      </w:r>
      <w:r>
        <w:rPr>
          <w:b w:val="on"/>
          <w:rFonts w:ascii="仿宋" w:eastAsia="仿宋" w:hAnsi="仿宋" w:cs="仿宋"/>
          <w:sz w:val="22"/>
          <w:u w:color="auto"/>
        </w:rPr>
        <w:t>无政府性基金预算，也没有使用政府性基金安排的支出，故本表无数据。</w:t>
      </w:r>
      <w:r>
        <w:rPr>
          <w:b w:val="on"/>
          <w:rFonts w:ascii="仿宋" w:eastAsia="仿宋" w:hAnsi="仿宋" w:cs="仿宋"/>
          <w:sz w:val="22"/>
          <w:u w:color="auto"/>
        </w:rPr>
        <w:t/>
      </w:r>
    </w:p>
    <w:p w14:paraId="6A70A19F">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7"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14:paraId="4774AA8D">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14:paraId="3156F4BF">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14:paraId="4EF98964">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14:paraId="0D2A9578">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14:paraId="1AADF766">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14:paraId="062AC01C">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连云港市“一带一路”建设促进中心</w:t>
            </w:r>
          </w:p>
        </w:tc>
        <w:tc>
          <w:tcPr>
            <w:tcW w:w="3091" w:type="dxa"/>
            <w:tcBorders>
              <w:top w:val="nil"/>
              <w:left w:val="nil"/>
              <w:bottom w:val="nil"/>
              <w:right w:val="nil"/>
            </w:tcBorders>
            <w:shd w:val="clear" w:color="auto" w:fill="auto"/>
            <w:noWrap/>
            <w:vAlign w:val="center"/>
          </w:tcPr>
          <w:p w14:paraId="4B5E2371">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14:paraId="2404FBD4">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26E2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671D8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BADF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C96E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14:paraId="432E2794">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14:paraId="4441FA9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14:paraId="610A31B2">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14:paraId="0C0CD14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14:paraId="6658BEEA">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14:paraId="503CA6E1">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14:paraId="00D98D52">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14:paraId="1138F447">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2B31F">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34F0764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9518AF4">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2C53BBAB">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14:paraId="23E635B9">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080F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811437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53DCC2D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54D26D6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7AA8870D">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单位</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14:paraId="4F525B1A">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14:paraId="081ECABF">
        <w:tblPrEx>
          <w:tblCellMar>
            <w:top w:w="55" w:type="dxa"/>
            <w:left w:w="55" w:type="dxa"/>
            <w:bottom w:w="55" w:type="dxa"/>
            <w:right w:w="55" w:type="dxa"/>
          </w:tblCellMar>
        </w:tblPrEx>
        <w:trPr>
          <w:trHeight w:val="319" w:hRule="atLeast"/>
        </w:trPr>
        <w:tc>
          <w:tcPr>
            <w:tcW w:w="10235" w:type="dxa"/>
            <w:gridSpan w:val="4"/>
          </w:tcPr>
          <w:p w14:paraId="3FDF9E28">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14:paraId="291E3CF1">
        <w:tblPrEx>
          <w:tblCellMar>
            <w:top w:w="55" w:type="dxa"/>
            <w:left w:w="55" w:type="dxa"/>
            <w:bottom w:w="55" w:type="dxa"/>
            <w:right w:w="55" w:type="dxa"/>
          </w:tblCellMar>
        </w:tblPrEx>
        <w:trPr>
          <w:trHeight w:val="90" w:hRule="atLeast"/>
        </w:trPr>
        <w:tc>
          <w:tcPr>
            <w:tcW w:w="10235" w:type="dxa"/>
            <w:gridSpan w:val="4"/>
          </w:tcPr>
          <w:p w14:paraId="231D1385">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14:paraId="04B652B4">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14:paraId="35496929">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连云港市“一带一路”建设促进中心</w:t>
            </w:r>
          </w:p>
        </w:tc>
        <w:tc>
          <w:tcPr>
            <w:tcW w:w="2351" w:type="dxa"/>
            <w:tcBorders>
              <w:bottom w:val="single" w:color="auto" w:sz="4" w:space="0"/>
            </w:tcBorders>
            <w:vAlign w:val="center"/>
          </w:tcPr>
          <w:p w14:paraId="14A254D4">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11FC7058">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14:paraId="0F6FED5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14:paraId="0F83CC29">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14:paraId="6EFE394A">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14:paraId="68F893FF">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14:paraId="06E7A0CE">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2DF58F83">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28F6C040">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4CC900D">
      <w:pPr>
        <w:numPr>
          <w:ilvl w:val="0"/>
          <w:numId w:val="0"/>
        </w:numPr>
        <w:tabs>
          <w:tab w:val="left" w:pos="-440"/>
        </w:tabs>
        <w:spacing w:before="25" w:after="0"/>
        <w:ind w:left="-440" w:leftChars="0" w:firstLine="0" w:firstLineChars="0"/>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lang w:val="en-US" w:eastAsia="zh-CN"/>
        </w:rPr>
        <w:t>2.</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无一般公共预算机关运行经费支出，故本表无数据。</w:t>
      </w:r>
      <w:r>
        <w:rPr>
          <w:b w:val="on"/>
          <w:rFonts w:ascii="仿宋" w:eastAsia="仿宋" w:hAnsi="仿宋" w:cs="仿宋"/>
          <w:sz w:val="22"/>
          <w:u w:color="auto"/>
        </w:rPr>
        <w:t/>
      </w:r>
    </w:p>
    <w:p w14:paraId="219881AC">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8"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14:paraId="17AE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25ABA2C5">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14:paraId="7610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7C23C5B6">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14:paraId="2D4D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14:paraId="2DB53ADF">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连云港市“一带一路”建设促进中心</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14:paraId="535DB9A2">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14:paraId="13948C0E">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14:paraId="10946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4FC7E2">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AF93C99">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019AB60">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863A4CB">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822C97">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F9C219A">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71AEF8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14:paraId="6D92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91EE03">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A12B648">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2F3862">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B5BF50">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3A18FB">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F113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BF9C2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76F5A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A0F303E">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F2CFD1">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14:paraId="0AAA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BCFE2A4">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E522CA">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85776D">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659CECE">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F86FA57">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DC751C">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B0F214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2F43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45450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1AB642">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货物</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连云港市“一带一路”建设促进中心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办公设备及办公耗材购置2026</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其他办公用品</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bl>
    <w:p w14:paraId="51FF3C07">
      <w:pPr>
        <w:bidi w:val="0"/>
        <w:rPr>
          <w:rFonts w:hint="eastAsia" w:ascii="仿宋" w:hAnsi="仿宋" w:eastAsia="仿宋" w:cs="仿宋"/>
          <w:b/>
          <w:bCs/>
          <w:sz w:val="22"/>
          <w:szCs w:val="22"/>
        </w:rPr>
        <w:sectPr>
          <w:footerReference r:id="rId19"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3ED135E2">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单位</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14:paraId="1540B497">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连云港市“一带一路”建设促进中心2026年度收入、支出预算总计195.64万元，与上年相比收、支预算总计各增加51.6万元，增长35.82%。其中：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（一）收入预算总计195.64万元。包括：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1．本年收入合计195.64万元。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（1）一般公共预算拨款收入195.64万元，与上年相比增加51.6万元，增长35.82%。主要原因是我单位今年在职人员新增3名，人员经费预算安排增加。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（二）支出预算总计195.64万元。包括：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1．本年支出合计195.64万元。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（1）一般公共服务支出（类）支出140.96万元，主要用于人员工资发放并确保日常运转及项目运行。与上年相比增加31.82万元，增长29.16%。主要原因是我单位今年在职人员新增3名，人员经费预算安排增加。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保障支出（类）支出54.68万元，主要用于按照国家政策规定计算的职工住房公积金、提租补贴等支出。与上年相比增加19.78万元，增长56.68%。主要原因是我单位今年在职人员新增3名，人员经费预算安排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连云港市“一带一路”建设促进中心2026年收入预算合计195.64万元，包括本年收入195.64万元，上年结转结余0万元。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本年一般公共预算收入195.64万元，占100%；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连云港市“一带一路”建设促进中心2026年支出预算合计195.64万元，其中：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基本支出171.64万元，占87.73%；</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项目支出24万元，占12.27%；</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连云港市“一带一路”建设促进中心2026年度财政拨款收、支总预算195.64万元。与上年相比，财政拨款收、支总计各增加51.6万元，增长35.82%。主要原因是我单位今年在职人员新增3名，人员经费预算安排增加。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一带一路”建设促进中心2026年财政拨款预算支出195.64万元，占本年支出合计的100%。与上年相比，财政拨款支出增加51.6万元，增长35.82%。主要原因是我单位今年在职人员新增3名，人员经费预算安排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（一）一般公共服务支出（类）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发展与改革事务（款）事业运行（项）支出140.96万元，与上年相比增加31.82万元，增长29.16%。主要原因是我单位今年在职人员新增3名，人员经费预算安排增加。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（二）住房保障支出（类）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1.住房改革支出（款）住房公积金（项）支出28.9万元，与上年相比增加13.78万元，增长91.14%。主要原因是我单位今年在职人员新增3名，住房公积金预算安排增加。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2.住房改革支出（款）提租补贴（项）支出25.78万元，与上年相比增加6万元，增长30.33%。主要原因是我单位今年在职人员新增3名，提租补贴预算安排增加。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连云港市“一带一路”建设促进中心2026年度财政拨款基本支出预算171.64万元，其中：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（一）人员经费160.44万元。主要包括：基本工资、津贴补贴、奖金、机关事业单位基本养老保险缴费、职业年金缴费、职工基本医疗保险缴费、其他社会保障缴费、住房公积金。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（二）公用经费11.2万元。主要包括：办公费、培训费、工会经费、其他商品和服务支出。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连云港市“一带一路”建设促进中心2026年一般公共预算财政拨款支出预算195.64万元，与上年相比增加51.6万元，增长35.82%。主要原因是我单位今年在职人员新增3名，人员经费预算安排增加。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连云港市“一带一路”建设促进中心2026年度一般公共预算财政拨款基本支出预算171.64万元，其中：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（一）人员经费160.44万元。主要包括：基本工资、津贴补贴、奖金、机关事业单位基本养老保险缴费、职业年金缴费、职工基本医疗保险缴费、其他社会保障缴费、住房公积金。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（二）公用经费11.2万元。主要包括：办公费、培训费、工会经费、其他商品和服务支出。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一带一路”建设促进中心2026年度一般公共预算拨款安排的“三公”经费支出预算0万元，与上年预算数相同。其中，因公出国（境）费支出0万元，占“三公”经费的0%；公务用车购置及运行维护费支出0万元，占“三公”经费的0%；公务接待费支出0万元，占“三公”经费的0%。具体情况如下：</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2．公务用车购置及运行维护费预算支出0万元。其中：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连云港市“一带一路”建设促进中心2026年度一般公共预算拨款安排的会议费预算支出0万元，与上年预算数相同。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连云港市“一带一路”建设促进中心2026年度一般公共预算拨款安排的培训费预算支出1万元，比上年预算增加1万元，主要原因是根据今年的计划安排，增加培训的预算支出。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连云港市“一带一路”建设促进中心2026年政府性基金支出预算支出0万元。与上年预算数相同。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连云港市“一带一路”建设促进中心2026年国有资本经营预算支出0万元。与上年预算数相同。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2026年本单位一般公共预算机关运行经费预算支出0万元，与上年预算数相同。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2026年度政府采购支出预算总额1万元，其中：拟采购货物支出1万元、拟采购工程支出0万元、拟采购服务支出0万元。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单位共有车辆0辆，其中，副部（省）级及以上领导用车0辆、主要负责人用车0辆、机要通信用车0辆、应急保障用车0辆、执法执勤用车0辆、特种专业技术用车0辆、离退休干部用车0辆，其他用车0辆；单价100万元（含）以上的设备0台（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单位整体支出纳入绩效目标管理，涉及财政性资金195.64万元；本单位共2个项目纳入绩效目标管理，涉及财政性资金合计24万元，占财政性资金(人员类和运转类中的公用经费项目支出除外)总额的比例为100%。</w:t>
      </w:r>
      <w:r>
        <w:rPr>
          <w:rFonts w:ascii="仿宋" w:eastAsia="仿宋" w:hAnsi="仿宋" w:cs="仿宋"/>
          <w:u w:color="auto"/>
        </w:rPr>
        <w:t/>
      </w:r>
    </w:p>
    <w:p w14:paraId="60A71CD5">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14:paraId="63293F33">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八、一般公共服务支出(类)发展与改革事务(款)事业运行(项)</w:t>
      </w:r>
      <w:r>
        <w:rPr>
          <w:b w:val="on"/>
          <w:rFonts w:ascii="仿宋" w:eastAsia="仿宋" w:hAnsi="仿宋" w:cs="仿宋"/>
          <w:u w:color="auto"/>
        </w:rPr>
        <w:t>：</w:t>
      </w:r>
      <w:r>
        <w:rPr>
          <w:rFonts w:hint="eastAsia" w:ascii="仿宋" w:hAnsi="仿宋" w:eastAsia="仿宋" w:cs="仿宋"/>
        </w:rPr>
        <w:t>反映事业单位的基本支出，不包括行政单位（包括实行公务员管理的事业单位）后勤服务中心、医务室等附属事业单位。</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九、住房保障支出(类)住房改革支出(款)住房公积金(项)</w:t>
      </w:r>
      <w:r>
        <w:rPr>
          <w:b w:val="on"/>
          <w:rFonts w:ascii="仿宋" w:eastAsia="仿宋" w:hAnsi="仿宋" w:cs="仿宋"/>
          <w:u w:color="auto"/>
        </w:rPr>
        <w:t>：</w:t>
      </w:r>
      <w:r>
        <w:rPr>
          <w:rFonts w:hint="eastAsia" w:ascii="仿宋" w:hAnsi="仿宋" w:eastAsia="仿宋" w:cs="仿宋"/>
        </w:rPr>
        <w:t>反映行政事业单位按人力资源和社会保障部、财政部规定的基本工资和津贴补贴以及规定比例为职工缴纳的住房公积金。</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十、住房保障支出(类)住房改革支出(款)提租补贴(项)</w:t>
      </w:r>
      <w:r>
        <w:rPr>
          <w:b w:val="on"/>
          <w:rFonts w:ascii="仿宋" w:eastAsia="仿宋" w:hAnsi="仿宋" w:cs="仿宋"/>
          <w:u w:color="auto"/>
        </w:rPr>
        <w:t>：</w:t>
      </w:r>
      <w:r>
        <w:rPr>
          <w:rFonts w:hint="eastAsia" w:ascii="仿宋" w:hAnsi="仿宋" w:eastAsia="仿宋" w:cs="仿宋"/>
        </w:rPr>
        <w:t>反映按房改政策规定的标准，行政事业单位向职工（含离退休人员）发放的租金补贴。</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D44A">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7B329B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24A0">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14E81E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1B55A">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108D36C8">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881FA">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1E3E9A2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E973">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5279EB44">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F68D">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7BD642A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00F64">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405305FE">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5044">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674D88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B4F1">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43F9E01C">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06B37">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4973739">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7DF2">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387FC5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2DD7">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1EE1AB0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3712">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C57DB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4045">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1B453216">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838EE">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11550493">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D1B7F">
    <w:pPr>
      <w:pStyle w:val="10"/>
      <w:pBdr>
        <w:bottom w:val="single" w:color="000000" w:sz="4" w:space="1"/>
      </w:pBdr>
      <w:jc w:val="both"/>
      <w:rPr>
        <w:rFonts w:hint="default" w:eastAsia="Arial Unicode MS"/>
        <w:lang w:val="en-US" w:eastAsia="zh-CN"/>
      </w:rPr>
    </w:pPr>
    <w:r>
      <w:rPr>
        <w:rFonts w:hint="eastAsia"/>
        <w:lang w:val="en-US" w:eastAsia="zh-CN"/>
        <w:u/>
      </w:rPr>
      <w:t>连云港市“一带一路”建设促进中心</w:t>
    </w:r>
    <w:r>
      <w:rPr>
        <w:u w:color="auto"/>
      </w:rPr>
      <w:t>2026</w:t>
    </w:r>
    <w:r>
      <w:rPr>
        <w:u w:color="auto"/>
      </w:rPr>
      <w:t>年度</w:t>
    </w:r>
    <w:r>
      <w:rPr>
        <w:u w:color="auto"/>
      </w:rPr>
      <w:t>单位</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1B3BA">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footer14.xml" Type="http://schemas.openxmlformats.org/officeDocument/2006/relationships/footer"/><Relationship Id="rId2" Target="settings.xml" Type="http://schemas.openxmlformats.org/officeDocument/2006/relationships/settings"/><Relationship Id="rId20" Target="footer15.xml" Type="http://schemas.openxmlformats.org/officeDocument/2006/relationships/footer"/><Relationship Id="rId21" Target="theme/theme1.xml" Type="http://schemas.openxmlformats.org/officeDocument/2006/relationships/theme"/><Relationship Id="rId22" Target="../customXml/item1.xml" Type="http://schemas.openxmlformats.org/officeDocument/2006/relationships/customXml"/><Relationship Id="rId23" Target="fontTable.xml" Type="http://schemas.openxmlformats.org/officeDocument/2006/relationships/fontTable"/><Relationship Id="rId24" Target="media/image1.jpeg" Type="http://schemas.openxmlformats.org/officeDocument/2006/relationships/image"/><Relationship Id="rId25"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细雨</cp:lastModifiedBy>
  <dcterms:modified xsi:type="dcterms:W3CDTF">2025-05-21T07:38:56Z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2052-12.1.0.21171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