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连云港市价格监测中心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(一)负责政府和上级价格部门制定的价格监测报告工作，对行政区内重要商品和服务价格开展动态价格监测、预测与分析价格走势。</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(二)负责价格巡查和专项调查工作，预测价格总水平，监测重要商品、服务价格以及相关成本与市场供求的变动情况。</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(三)负责价格应急监测和预警、预报工作并提出政策建议。</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(四)负责跟踪、调查反馈国家重要经济政策、措施在价格领域的反映。</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(五)负责发布重要商品和服务价格监测、分析、预测信息。</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(六)负责指导行政区域内的价格监测预警工作。</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（一）深化民生价格监测服务</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1、拓展监测覆盖范围。进一步扩充“菜篮子”商品等重要民生商品价格监测点和品种。探索“线上商品”价格监测路径，实现“传统商品+网络渠道”有效覆盖。</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2、优化信息发布渠道。在“我的连云港”APP“价格服务”专区，新增“价格对比”板块，进一步强化监测信息服务市民的功能。</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（二）强化监测队伍能力建设</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1、实施“监测能力提升工程”。开展“业务轮训+技能比武”活动，组织全市监测人员开展专题培训，重点提升数据采集、应急处置能力，实现基层人员培训全覆盖。</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2、建立激励约束机制。优化市级《监测工作质量管理办法》，将数据质量、分析成效、应急响应等纳入年度质量管理，加大对“优秀监测点”“数据报送标兵”的监测经费倾斜力度，激发队伍积极性。</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（三）提升服务决策前瞻性</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1、开展重大课题研究。围绕“民生商品价格异常波动预警与调控机制研究”、“工业品价格变动及成因分析”、“饲料原料价格对养殖效益影响”等主题开展调研，为上级部门制定政策提供参考。</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2、强化应急能力建设。修订《价格应急监测预案》，开展极端天气、公共卫生事件等场景化演练，确保应急响应及时准确。</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下一步，我们将始终坚持“监测为民、服务决策”的初心，以“准快精深”为标准，持续完善监测体系，提升服务效能，为服务全市发改大局、服务价格调控决策作出新的更大贡献。</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连云港市价格监测中心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连云港市价格监测中心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148.70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110.80</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37.90</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148.70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148.70</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148.70</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148.70</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148.70</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148.70</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148.70</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074009</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连云港市价格监测中心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148.70</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148.70</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148.70</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物价管理</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13.09</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13.09</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24.81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24.81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连云港市价格监测中心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148.70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110.80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37.90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148.70</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148.70</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137.14</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11.56</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110.80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110.80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99.24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11.56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110.80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110.80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99.24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11.56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物价管理</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110.80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110.80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99.24</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11.56</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37.90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37.90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37.90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37.90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37.90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37.90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13.09</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13.09</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13.09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24.81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24.81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24.81</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连云港市价格监测中心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148.70</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137.14</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11.56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133.93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133.93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25.34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25.34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52.82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52.82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18.38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18.38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10.89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10.89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5.44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5.44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7.10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0.87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0.87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13.09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13.09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11.56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11.56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7.00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1.36</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3.21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3.21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3.21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3.21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148.70</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137.14</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11.56</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99.24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11.56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99.24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11.56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2010408</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物价管理</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110.80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99.24</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11.56</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37.90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13.09</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13.09</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13.09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24.81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24.81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24.81</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148.70</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137.14</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11.56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133.93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133.93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25.34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25.34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52.82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52.82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18.38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18.38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10.89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10.89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5.44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5.44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7.10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0.87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0.87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13.09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13.09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11.56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11.56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7.00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1.36</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3.21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3.21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3.21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3.21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0.00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78E0B2A3">
      <w:pPr>
        <w:widowControl w:val="0"/>
        <w:numPr>
          <w:ilvl w:val="0"/>
          <w:numId w:val="0"/>
        </w:numPr>
        <w:suppressAutoHyphens/>
        <w:bidi w:val="0"/>
        <w:spacing w:before="0" w:after="0"/>
        <w:ind w:left="-220" w:leftChars="0" w:right="0" w:rightChars="0" w:firstLine="0" w:firstLineChars="0"/>
        <w:jc w:val="left"/>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rPr>
        <w:t>注：</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无一般公共预算“三公”经费、会议费、培训费支出，故本表无数据。</w:t>
      </w:r>
      <w:r>
        <w:rPr>
          <w:b w:val="on"/>
          <w:rFonts w:ascii="仿宋" w:eastAsia="仿宋" w:hAnsi="仿宋" w:cs="仿宋"/>
          <w:sz w:val="22"/>
          <w:u w:color="auto"/>
        </w:rPr>
        <w:t/>
      </w:r>
    </w:p>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连云港市价格监测中心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bl>
    <w:p w14:paraId="20CADE59">
      <w:pPr>
        <w:numPr>
          <w:ilvl w:val="0"/>
          <w:numId w:val="0"/>
        </w:numPr>
        <w:bidi w:val="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rPr>
        <w:t>注：</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无政府采购支出，故本表无数据。</w:t>
      </w:r>
      <w:r>
        <w:rPr>
          <w:rFonts w:hint="eastAsia" w:ascii="仿宋" w:hAnsi="仿宋" w:eastAsia="仿宋" w:cs="仿宋"/>
          <w:b/>
          <w:bCs/>
          <w:sz w:val="22"/>
          <w:szCs w:val="22"/>
        </w:rPr>
        <w:t/>
      </w:r>
    </w:p>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连云港市价格监测中心2026年度收入、支出预算总计148.7万元，与上年相比收、支预算总计各增加2.54万元，增长1.74%。其中：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（一）收入预算总计148.7万元。包括：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1．本年收入合计148.7万元。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（1）一般公共预算拨款收入148.7万元，与上年相比增加2.54万元，增长1.74%。主要原因是人员工资基数略有上调，同比上年略有增加。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（二）支出预算总计148.7万元。包括：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1．本年支出合计148.7万元。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（1）一般公共服务支出（类）支出110.8万元，主要用于发放在职人员工资、社保支出。与上年相比增加2.39万元，增长2.2%。主要原因是人员工资基数略有上调，同比上年略有增加。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（2）住房保障支出（类）支出37.9万元，主要用于在职人员住房公积金和退休人员提租补贴支出。与上年相比增加0.15万元，增长0.4%。主要原因是人员工资基数略有上调，同比上年略有增加。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连云港市价格监测中心2026年收入预算合计148.7万元，包括本年收入148.7万元，上年结转结余0万元。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本年一般公共预算收入148.7万元，占100%；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连云港市价格监测中心2026年支出预算合计148.7万元，其中：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基本支出148.7万元，占100%；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连云港市价格监测中心2026年度财政拨款收、支总预算148.7万元。与上年相比，财政拨款收、支总计各增加2.54万元，增长1.74%。主要原因是人员工资基数略有上调，同比上年略有增加。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连云港市价格监测中心2026年财政拨款预算支出148.7万元，占本年支出合计的100%。与上年相比，财政拨款支出增加2.54万元，增长1.74%。主要原因是人员工资基数略有上调，同比上年略有增加。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发展与改革事务（款）物价管理（项）支出110.8万元，与上年相比增加2.39万元，增长2.2%。主要原因是人员工资基数略有上调，同比上年略有增加。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1.住房改革支出（款）住房公积金（项）支出13.09万元，与上年相比增加0.15万元，增长1.16%。主要原因是人员工资基数略有上调，同比上年略有增加。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2.住房改革支出（款）提租补贴（项）支出24.81万元，与上年预算数相同。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连云港市价格监测中心2026年度财政拨款基本支出预算148.7万元，其中：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（一）人员经费137.14万元。主要包括：基本工资、津贴补贴、奖金、机关事业单位基本养老保险缴费、职业年金缴费、职工基本医疗保险缴费、其他社会保障缴费、住房公积金、退休费。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（二）公用经费11.56万元。主要包括：办公费、工会经费、其他商品和服务支出。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连云港市价格监测中心2026年一般公共预算财政拨款支出预算148.7万元，与上年相比增加2.54万元，增长1.74%。主要原因是人员工资基数略有上调，同比上年略有增加。</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连云港市价格监测中心2026年度一般公共预算财政拨款基本支出预算148.7万元，其中：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（一）人员经费137.14万元。主要包括：基本工资、津贴补贴、奖金、机关事业单位基本养老保险缴费、职业年金缴费、职工基本医疗保险缴费、其他社会保障缴费、住房公积金、退休费。</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（二）公用经费11.56万元。主要包括：办公费、工会经费、其他商品和服务支出。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一般公共预算拨款安排的“三公”经费支出预算0万元，与上年预算数相同。其中，因公出国（境）费支出0万元，占“三公”经费的0%；公务用车购置及运行维护费支出0万元，占“三公”经费的0%；公务接待费支出0万元，占“三公”经费的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连云港市价格监测中心2026年国有资本经营预算支出0万元。与上年预算数相同。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2026年度政府采购支出预算总额0万元，其中：拟采购货物支出0万元、拟采购工程支出0万元、拟采购服务支出0万元。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148.7万元；本单位共0个项目纳入绩效目标管理，涉及财政性资金合计0万元，占财政性资金(人员类和运转类中的公用经费项目支出除外)总额的比例为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八、一般公共服务支出(类)发展与改革事务(款)物价管理(项)</w:t>
      </w:r>
      <w:r>
        <w:rPr>
          <w:b w:val="on"/>
          <w:rFonts w:ascii="仿宋" w:eastAsia="仿宋" w:hAnsi="仿宋" w:cs="仿宋"/>
          <w:u w:color="auto"/>
        </w:rPr>
        <w:t>：</w:t>
      </w:r>
      <w:r>
        <w:rPr>
          <w:rFonts w:hint="eastAsia" w:ascii="仿宋" w:hAnsi="仿宋" w:eastAsia="仿宋" w:cs="仿宋"/>
        </w:rPr>
        <w:t>反映物价管理方面的支出。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连云港市价格监测中心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