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10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4" w:hRule="atLeast"/>
        </w:trPr>
        <w:tc>
          <w:tcPr>
            <w:tcW w:w="10082" w:type="dxa"/>
            <w:tcBorders>
              <w:top w:val="nil"/>
              <w:left w:val="nil"/>
              <w:bottom w:val="nil"/>
              <w:right w:val="nil"/>
            </w:tcBorders>
          </w:tcPr>
          <w:p>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5" w:hRule="atLeast"/>
        </w:trPr>
        <w:tc>
          <w:tcPr>
            <w:tcW w:w="10082" w:type="dxa"/>
            <w:tcBorders>
              <w:top w:val="nil"/>
              <w:left w:val="nil"/>
              <w:bottom w:val="nil"/>
              <w:right w:val="nil"/>
            </w:tcBorders>
            <w:vAlign w:val="center"/>
          </w:tcPr>
          <w:p>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连云港市公共信用信息中心</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pPr>
        <w:ind w:right="284" w:rightChars="129"/>
        <w:jc w:val="both"/>
        <w:rPr>
          <w:rFonts w:hint="eastAsia" w:ascii="宋体" w:hAnsi="宋体" w:eastAsia="宋体" w:cs="宋体"/>
          <w:b/>
          <w:bCs/>
          <w:sz w:val="52"/>
          <w:szCs w:val="52"/>
        </w:rPr>
        <w:sectPr>
          <w:headerReference r:id="rId4" w:type="first"/>
          <w:headerReference r:id="rId3"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pPr>
        <w:pStyle w:val="8"/>
        <w:spacing w:before="4" w:after="0"/>
        <w:rPr>
          <w:rFonts w:ascii="华文仿宋" w:hAnsi="华文仿宋" w:eastAsia="华文仿宋" w:cs="仿宋"/>
          <w:sz w:val="10"/>
        </w:rPr>
      </w:pPr>
    </w:p>
    <w:p>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5"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pPr>
        <w:pStyle w:val="8"/>
        <w:spacing w:before="1" w:after="0"/>
        <w:rPr>
          <w:rFonts w:ascii="华文仿宋" w:hAnsi="华文仿宋" w:eastAsia="华文仿宋" w:cs="仿宋"/>
          <w:sz w:val="14"/>
        </w:rPr>
      </w:pPr>
    </w:p>
    <w:p>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pPr>
        <w:ind w:right="504" w:rightChars="229"/>
        <w:jc w:val="both"/>
        <w:rPr>
          <w:rFonts w:hint="eastAsia"/>
        </w:rPr>
      </w:pP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连云港市公共信用信息中心负责公共信用信息系统、双公示系统、政务诚信系统等信用平台的搭建和运行，负责法人、自然人基础数据库的开发和日常维护;负责全市信用信息的数据归集、加工交换、统计分析;负责信用数据异议处理、信用修复、信用信息查询服务；负责信用连云港网站；负责“一带一路”、江苏沿海以及周边城市政策、经济、发展指标等信息汇集,开展大陆桥区域经济带研究，为新亚欧大陆桥沿线国家和地区之间的经济贸易合作和科学文化交流提供信息咨询服务。</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本单位无内设机构。</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深化系统平台建管，夯实信用基础设施。组织系统安全隐患排查、漏洞扫描、网站内容监测、应急演练、渗透测试，系统性开展数据安全风险评估及闭环整改，筑牢数据网络安全防线，保障系统网站安全稳定运行。制定重保时期系统网站数据网络安全保障方案。完善信用系统功能。拓展专项信用报告应用场景，助力市场主体可通过专项信用报告“一纸证明”替代多项有无违法违规记录证明，切实减轻企业负担。探索搭建自然人信用分模型。</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强化数据治理与合规应用，确保数据质量与安全。全面提升数据管理水平，强化公共信用信息目录管理。依据国家公共信用信息基础目录和省公共信用信息补充目录，结合我市信用体系建设工作要求，动态编制市公共信用信息归集规范，明确数据规则、共享范围、归集方式、更新频次等。加强数据质量检验与反馈跟踪，协同建立数据校验规则体系，增强公共信用信息全流程质量控制能力。建立完善覆盖市场经营主体、事业单位、重点领域从业人员等信用主体的信用档案，夯实信用数据记录基础。畅通市级平台与省级系统对接，及时归集回流信息，深化信用数据在行政审批、事中事后监管、公共资源交易等领域协同应用。建立健全信用信息安全管理和应急处理机制，落实数据分类分级保护和系统安全等级保护，保障公共信用信息安全。</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优化信用修复服务与异议处理，提升服务效率。贯彻落实《信用修复管理办法》（国家发展改革委2025年第36号令）精神，严格执行国家统一的失信信息分类标准及相应修复条件，构建高效便捷的信用修复服务体系。开展政策解读、修复指导，压实修复责任与协同，协助行业主管部门高标准做好信用修复受理、审核工作。压实异议处理时限，畅通异议申请受理渠道、核查程序与反馈标准，构建异议申请从受理、核查、处理到办结反馈的全流程闭环管理。</w:t>
      </w:r>
      <w:r>
        <w:rPr>
          <w:rFonts w:ascii="仿宋" w:eastAsia="仿宋" w:hAnsi="仿宋" w:cs="仿宋"/>
          <w:u w:color="auto"/>
        </w:rPr>
        <w:t/>
      </w:r>
    </w:p>
    <w:p>
      <w:pPr>
        <w:pStyle w:val="8"/>
        <w:spacing w:line="235" w:lineRule="auto"/>
        <w:ind w:left="669" w:leftChars="300" w:right="2414" w:hanging="9" w:firstLineChars="0"/>
        <w:jc w:val="both"/>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连云港市公共信用信息中心</w:t>
      </w:r>
    </w:p>
    <w:p>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Ind w:w="0" w:type="dxa"/>
        <w:tblLayout w:type="fixed"/>
        <w:tblCellMar>
          <w:top w:w="0" w:type="dxa"/>
          <w:left w:w="108" w:type="dxa"/>
          <w:bottom w:w="0" w:type="dxa"/>
          <w:right w:w="108" w:type="dxa"/>
        </w:tblCellMar>
      </w:tblPr>
      <w:tblGrid>
        <w:gridCol w:w="3908"/>
        <w:gridCol w:w="1869"/>
        <w:gridCol w:w="3704"/>
        <w:gridCol w:w="67"/>
        <w:gridCol w:w="1781"/>
      </w:tblGrid>
      <w:tr>
        <w:tblPrEx>
          <w:tblLayout w:type="fixed"/>
          <w:tblCellMar>
            <w:top w:w="0" w:type="dxa"/>
            <w:left w:w="108" w:type="dxa"/>
            <w:bottom w:w="0" w:type="dxa"/>
            <w:right w:w="108" w:type="dxa"/>
          </w:tblCellMar>
        </w:tblPrEx>
        <w:trPr>
          <w:trHeight w:val="116" w:hRule="atLeast"/>
          <w:jc w:val="center"/>
        </w:trPr>
        <w:tc>
          <w:tcPr>
            <w:tcW w:w="11329" w:type="dxa"/>
            <w:gridSpan w:val="5"/>
            <w:vAlign w:val="center"/>
          </w:tcPr>
          <w:p>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tblPrEx>
          <w:tblLayout w:type="fixed"/>
          <w:tblCellMar>
            <w:top w:w="0" w:type="dxa"/>
            <w:left w:w="108" w:type="dxa"/>
            <w:bottom w:w="0" w:type="dxa"/>
            <w:right w:w="108" w:type="dxa"/>
          </w:tblCellMar>
        </w:tblPrEx>
        <w:trPr>
          <w:trHeight w:val="348" w:hRule="atLeast"/>
          <w:jc w:val="center"/>
        </w:trPr>
        <w:tc>
          <w:tcPr>
            <w:tcW w:w="11329" w:type="dxa"/>
            <w:gridSpan w:val="5"/>
          </w:tcPr>
          <w:p>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tblPrEx>
          <w:tblLayout w:type="fixed"/>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连云港市公共信用信息中心</w:t>
            </w:r>
          </w:p>
        </w:tc>
        <w:tc>
          <w:tcPr>
            <w:tcW w:w="1848" w:type="dxa"/>
            <w:gridSpan w:val="2"/>
            <w:tcBorders>
              <w:bottom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tblPrEx>
          <w:tblLayout w:type="fixed"/>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tblPrEx>
          <w:tblLayout w:type="fixed"/>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128.20</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86.63</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41.57</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128.20</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128.20</w:t>
            </w:r>
          </w:p>
        </w:tc>
      </w:tr>
      <w:tr>
        <w:tblPrEx>
          <w:tblLayout w:type="fixed"/>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tblPrEx>
          <w:tblLayout w:type="fixed"/>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128.20</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128.20</w:t>
            </w:r>
          </w:p>
        </w:tc>
      </w:tr>
    </w:tbl>
    <w:p>
      <w:pPr>
        <w:widowControl w:val="0"/>
        <w:suppressAutoHyphens/>
        <w:bidi w:val="0"/>
        <w:spacing w:before="66" w:after="0"/>
        <w:ind w:right="0"/>
        <w:jc w:val="left"/>
        <w:rPr>
          <w:rFonts w:hint="eastAsia" w:ascii="仿宋" w:hAnsi="仿宋" w:eastAsia="仿宋" w:cs="仿宋"/>
          <w:b/>
          <w:bCs/>
          <w:color w:val="000000"/>
          <w:sz w:val="22"/>
          <w:szCs w:val="22"/>
        </w:rPr>
        <w:sectPr>
          <w:footerReference r:id="rId7"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连云港市公共信用信息中心</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128.20</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128.20</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128.20</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074029</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连云港市公共信用信息中心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128.20</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128.20</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128.20</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8"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tblPrEx>
          <w:tblLayout w:type="fixed"/>
          <w:tblCellMar>
            <w:top w:w="55" w:type="dxa"/>
            <w:left w:w="55" w:type="dxa"/>
            <w:bottom w:w="55" w:type="dxa"/>
            <w:right w:w="55" w:type="dxa"/>
          </w:tblCellMar>
        </w:tblPrEx>
        <w:trPr>
          <w:trHeight w:val="341" w:hRule="atLeast"/>
        </w:trPr>
        <w:tc>
          <w:tcPr>
            <w:tcW w:w="15347" w:type="dxa"/>
            <w:gridSpan w:val="8"/>
            <w:vAlign w:val="center"/>
          </w:tcPr>
          <w:p>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tblPrEx>
          <w:tblLayout w:type="fixed"/>
          <w:tblCellMar>
            <w:top w:w="55" w:type="dxa"/>
            <w:left w:w="55" w:type="dxa"/>
            <w:bottom w:w="55" w:type="dxa"/>
            <w:right w:w="55" w:type="dxa"/>
          </w:tblCellMar>
        </w:tblPrEx>
        <w:trPr>
          <w:trHeight w:val="321" w:hRule="atLeast"/>
        </w:trPr>
        <w:tc>
          <w:tcPr>
            <w:tcW w:w="15347" w:type="dxa"/>
            <w:gridSpan w:val="8"/>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tblPrEx>
          <w:tblLayout w:type="fixed"/>
          <w:tblCellMar>
            <w:top w:w="55" w:type="dxa"/>
            <w:left w:w="55" w:type="dxa"/>
            <w:bottom w:w="55" w:type="dxa"/>
            <w:right w:w="55" w:type="dxa"/>
          </w:tblCellMar>
        </w:tblPrEx>
        <w:trPr>
          <w:trHeight w:val="218" w:hRule="atLeast"/>
        </w:trPr>
        <w:tc>
          <w:tcPr>
            <w:tcW w:w="12030" w:type="dxa"/>
            <w:gridSpan w:val="6"/>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连云港市公共信用信息中心</w:t>
            </w:r>
          </w:p>
        </w:tc>
        <w:tc>
          <w:tcPr>
            <w:tcW w:w="3317" w:type="dxa"/>
            <w:gridSpan w:val="2"/>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tblPrEx>
          <w:tblLayout w:type="fixed"/>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tblPrEx>
          <w:tblLayout w:type="fixed"/>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128.20</w:t>
            </w:r>
          </w:p>
        </w:tc>
        <w:tc>
          <w:tcPr>
            <w:tcW w:w="171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113.20</w:t>
            </w:r>
          </w:p>
        </w:tc>
        <w:tc>
          <w:tcPr>
            <w:tcW w:w="1749"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15.00</w:t>
            </w:r>
          </w:p>
        </w:tc>
        <w:tc>
          <w:tcPr>
            <w:tcW w:w="186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86.63</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71.63</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86.63</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71.63</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事业运行</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86.63</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71.63</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41.57</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41.57</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41.57</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41.57</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9.12</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9.12</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32.45</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32.45</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pPr>
        <w:widowControl w:val="0"/>
        <w:suppressAutoHyphens/>
        <w:bidi w:val="0"/>
        <w:spacing w:before="59" w:after="0"/>
        <w:ind w:left="57" w:right="0" w:firstLine="0"/>
        <w:jc w:val="left"/>
        <w:rPr>
          <w:rFonts w:hint="eastAsia" w:ascii="仿宋" w:hAnsi="仿宋" w:eastAsia="仿宋" w:cs="仿宋"/>
          <w:b/>
          <w:bCs/>
          <w:sz w:val="22"/>
          <w:szCs w:val="22"/>
        </w:rPr>
        <w:sectPr>
          <w:footerReference r:id="rId9"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tblPrEx>
          <w:tblLayout w:type="fixed"/>
          <w:tblCellMar>
            <w:top w:w="55" w:type="dxa"/>
            <w:left w:w="55" w:type="dxa"/>
            <w:bottom w:w="55" w:type="dxa"/>
            <w:right w:w="55" w:type="dxa"/>
          </w:tblCellMar>
        </w:tblPrEx>
        <w:trPr>
          <w:trHeight w:val="319" w:hRule="atLeast"/>
        </w:trPr>
        <w:tc>
          <w:tcPr>
            <w:tcW w:w="15789" w:type="dxa"/>
            <w:gridSpan w:val="4"/>
          </w:tcPr>
          <w:p>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tblPrEx>
          <w:tblLayout w:type="fixed"/>
          <w:tblCellMar>
            <w:top w:w="55" w:type="dxa"/>
            <w:left w:w="55" w:type="dxa"/>
            <w:bottom w:w="55" w:type="dxa"/>
            <w:right w:w="55" w:type="dxa"/>
          </w:tblCellMar>
        </w:tblPrEx>
        <w:trPr>
          <w:trHeight w:val="319" w:hRule="atLeast"/>
        </w:trPr>
        <w:tc>
          <w:tcPr>
            <w:tcW w:w="15789" w:type="dxa"/>
            <w:gridSpan w:val="4"/>
          </w:tcPr>
          <w:p>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tblPrEx>
          <w:tblLayout w:type="fixed"/>
          <w:tblCellMar>
            <w:top w:w="55" w:type="dxa"/>
            <w:left w:w="55" w:type="dxa"/>
            <w:bottom w:w="55" w:type="dxa"/>
            <w:right w:w="55" w:type="dxa"/>
          </w:tblCellMar>
        </w:tblPrEx>
        <w:trPr>
          <w:trHeight w:val="319" w:hRule="atLeast"/>
        </w:trPr>
        <w:tc>
          <w:tcPr>
            <w:tcW w:w="11890" w:type="dxa"/>
            <w:gridSpan w:val="3"/>
          </w:tcPr>
          <w:p>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连云港市公共信用信息中心</w:t>
            </w:r>
          </w:p>
        </w:tc>
        <w:tc>
          <w:tcPr>
            <w:tcW w:w="3899" w:type="dxa"/>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tblPrEx>
          <w:tblLayout w:type="fixed"/>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tblPrEx>
          <w:tblLayout w:type="fixed"/>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128.20</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128.20</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128.20</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86.63</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41.57</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128.20</w:t>
            </w:r>
          </w:p>
        </w:tc>
        <w:tc>
          <w:tcPr>
            <w:tcW w:w="3943"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128.20</w:t>
            </w:r>
          </w:p>
        </w:tc>
      </w:tr>
    </w:tbl>
    <w:p>
      <w:pPr>
        <w:ind w:left="-220" w:leftChars="-100" w:firstLine="0" w:firstLineChars="0"/>
        <w:rPr>
          <w:rFonts w:hint="eastAsia" w:ascii="仿宋" w:hAnsi="仿宋" w:eastAsia="仿宋" w:cs="仿宋"/>
          <w:b/>
          <w:bCs/>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tblPrEx>
          <w:tblLayout w:type="fixed"/>
        </w:tblPrEx>
        <w:trPr>
          <w:trHeight w:val="321" w:hRule="atLeast"/>
        </w:trPr>
        <w:tc>
          <w:tcPr>
            <w:tcW w:w="15216" w:type="dxa"/>
            <w:gridSpan w:val="7"/>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tblPrEx>
          <w:tblLayout w:type="fixed"/>
        </w:tblPrEx>
        <w:trPr>
          <w:trHeight w:val="321" w:hRule="atLeast"/>
        </w:trPr>
        <w:tc>
          <w:tcPr>
            <w:tcW w:w="15216" w:type="dxa"/>
            <w:gridSpan w:val="7"/>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tblPrEx>
          <w:tblLayout w:type="fixed"/>
        </w:tblPrEx>
        <w:trPr>
          <w:trHeight w:val="309" w:hRule="atLeast"/>
        </w:trPr>
        <w:tc>
          <w:tcPr>
            <w:tcW w:w="13552" w:type="dxa"/>
            <w:gridSpan w:val="6"/>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连云港市公共信用信息中心</w:t>
            </w:r>
          </w:p>
        </w:tc>
        <w:tc>
          <w:tcPr>
            <w:tcW w:w="1664" w:type="dxa"/>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PrEx>
        <w:trPr>
          <w:trHeight w:val="319" w:hRule="atLeast"/>
        </w:trPr>
        <w:tc>
          <w:tcPr>
            <w:tcW w:w="1846"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tblPrEx>
          <w:tblLayout w:type="fixed"/>
        </w:tblPrEx>
        <w:trPr>
          <w:trHeight w:val="296" w:hRule="atLeast"/>
        </w:trPr>
        <w:tc>
          <w:tcPr>
            <w:tcW w:w="1846" w:type="dxa"/>
            <w:vMerge w:val="continue"/>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tblPrEx>
          <w:tblLayout w:type="fixed"/>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128.20</w:t>
            </w:r>
          </w:p>
        </w:tc>
        <w:tc>
          <w:tcPr>
            <w:tcW w:w="1827"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113.20</w:t>
            </w:r>
          </w:p>
        </w:tc>
        <w:tc>
          <w:tcPr>
            <w:tcW w:w="1813"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107.43</w:t>
            </w:r>
          </w:p>
        </w:tc>
        <w:tc>
          <w:tcPr>
            <w:tcW w:w="1813"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5.77</w:t>
            </w:r>
          </w:p>
        </w:tc>
        <w:tc>
          <w:tcPr>
            <w:tcW w:w="1664" w:type="dxa"/>
            <w:tcBorders>
              <w:left w:val="single" w:color="000000" w:sz="6" w:space="0"/>
              <w:bottom w:val="single" w:color="000000" w:sz="6" w:space="0"/>
              <w:right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15.00</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86.63</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71.63</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65.86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5.77</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15.00</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发展与改革事务</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86.63</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71.63</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65.86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5.77</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15.00</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事业运行</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86.63</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71.63</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65.86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5.77</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15.00</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41.57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41.57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41.57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41.57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41.57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41.57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9.12</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9.12</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9.12</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32.45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32.45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32.45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tblPrEx>
          <w:tblLayout w:type="fixed"/>
          <w:tblCellMar>
            <w:top w:w="55" w:type="dxa"/>
            <w:left w:w="55" w:type="dxa"/>
            <w:bottom w:w="55" w:type="dxa"/>
            <w:right w:w="55" w:type="dxa"/>
          </w:tblCellMar>
        </w:tblPrEx>
        <w:trPr>
          <w:trHeight w:val="319" w:hRule="atLeast"/>
        </w:trPr>
        <w:tc>
          <w:tcPr>
            <w:tcW w:w="10817" w:type="dxa"/>
            <w:gridSpan w:val="5"/>
            <w:vAlign w:val="center"/>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tblPrEx>
          <w:tblLayout w:type="fixed"/>
          <w:tblCellMar>
            <w:top w:w="55" w:type="dxa"/>
            <w:left w:w="55" w:type="dxa"/>
            <w:bottom w:w="55" w:type="dxa"/>
            <w:right w:w="55" w:type="dxa"/>
          </w:tblCellMar>
        </w:tblPrEx>
        <w:trPr>
          <w:trHeight w:val="319" w:hRule="atLeast"/>
        </w:trPr>
        <w:tc>
          <w:tcPr>
            <w:tcW w:w="10817" w:type="dxa"/>
            <w:gridSpan w:val="5"/>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tblPrEx>
          <w:tblLayout w:type="fixed"/>
          <w:tblCellMar>
            <w:top w:w="55" w:type="dxa"/>
            <w:left w:w="55" w:type="dxa"/>
            <w:bottom w:w="55" w:type="dxa"/>
            <w:right w:w="55" w:type="dxa"/>
          </w:tblCellMar>
        </w:tblPrEx>
        <w:trPr>
          <w:trHeight w:val="319" w:hRule="atLeast"/>
        </w:trPr>
        <w:tc>
          <w:tcPr>
            <w:tcW w:w="8760" w:type="dxa"/>
            <w:gridSpan w:val="4"/>
          </w:tcPr>
          <w:p>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连云港市公共信用信息中心</w:t>
            </w:r>
          </w:p>
        </w:tc>
        <w:tc>
          <w:tcPr>
            <w:tcW w:w="2057" w:type="dxa"/>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tblPrEx>
          <w:tblLayout w:type="fixed"/>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Layout w:type="fixed"/>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113.20</w:t>
            </w:r>
          </w:p>
        </w:tc>
        <w:tc>
          <w:tcPr>
            <w:tcW w:w="204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107.43</w:t>
            </w:r>
          </w:p>
        </w:tc>
        <w:tc>
          <w:tcPr>
            <w:tcW w:w="205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5.77</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89.28</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89.28</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18.53</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18.53</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28.29</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28.29</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13.39</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13.39</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4.05</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6.84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6.84</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0.96</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0.96</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9.12</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9.12</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5.77</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2.74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2.74</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会议费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1.01</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1.01</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1.42</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1.42</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18.15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18.15</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18.15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18.15</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2"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tblPrEx>
          <w:tblLayout w:type="fixed"/>
          <w:tblCellMar>
            <w:top w:w="55" w:type="dxa"/>
            <w:left w:w="55" w:type="dxa"/>
            <w:bottom w:w="55" w:type="dxa"/>
            <w:right w:w="55" w:type="dxa"/>
          </w:tblCellMar>
        </w:tblPrEx>
        <w:trPr>
          <w:trHeight w:val="321" w:hRule="atLeast"/>
        </w:trPr>
        <w:tc>
          <w:tcPr>
            <w:tcW w:w="15216" w:type="dxa"/>
            <w:gridSpan w:val="7"/>
            <w:vAlign w:val="center"/>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tblPrEx>
          <w:tblLayout w:type="fixed"/>
          <w:tblCellMar>
            <w:top w:w="55" w:type="dxa"/>
            <w:left w:w="55" w:type="dxa"/>
            <w:bottom w:w="55" w:type="dxa"/>
            <w:right w:w="55" w:type="dxa"/>
          </w:tblCellMar>
        </w:tblPrEx>
        <w:trPr>
          <w:trHeight w:val="321" w:hRule="atLeast"/>
        </w:trPr>
        <w:tc>
          <w:tcPr>
            <w:tcW w:w="15216" w:type="dxa"/>
            <w:gridSpan w:val="7"/>
          </w:tcPr>
          <w:p>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tblPrEx>
          <w:tblLayout w:type="fixed"/>
          <w:tblCellMar>
            <w:top w:w="55" w:type="dxa"/>
            <w:left w:w="55" w:type="dxa"/>
            <w:bottom w:w="55" w:type="dxa"/>
            <w:right w:w="55" w:type="dxa"/>
          </w:tblCellMar>
        </w:tblPrEx>
        <w:trPr>
          <w:trHeight w:val="288" w:hRule="atLeast"/>
        </w:trPr>
        <w:tc>
          <w:tcPr>
            <w:tcW w:w="13566" w:type="dxa"/>
            <w:gridSpan w:val="6"/>
          </w:tcPr>
          <w:p>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连云港市公共信用信息中心</w:t>
            </w:r>
          </w:p>
        </w:tc>
        <w:tc>
          <w:tcPr>
            <w:tcW w:w="1650" w:type="dxa"/>
            <w:vAlign w:val="center"/>
          </w:tcPr>
          <w:p>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tblPrEx>
          <w:tblLayout w:type="fixed"/>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pPr>
              <w:widowControl w:val="0"/>
              <w:jc w:val="left"/>
              <w:rPr>
                <w:rFonts w:hint="eastAsia" w:ascii="仿宋" w:hAnsi="仿宋" w:eastAsia="仿宋" w:cs="仿宋"/>
                <w:sz w:val="22"/>
                <w:szCs w:val="22"/>
              </w:rPr>
            </w:pPr>
          </w:p>
        </w:tc>
      </w:tr>
      <w:tr>
        <w:tblPrEx>
          <w:tblLayout w:type="fixed"/>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128.20</w:t>
            </w:r>
          </w:p>
        </w:tc>
        <w:tc>
          <w:tcPr>
            <w:tcW w:w="1693"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113.20</w:t>
            </w:r>
          </w:p>
        </w:tc>
        <w:tc>
          <w:tcPr>
            <w:tcW w:w="1987"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107.43</w:t>
            </w:r>
          </w:p>
        </w:tc>
        <w:tc>
          <w:tcPr>
            <w:tcW w:w="1827"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5.77</w:t>
            </w:r>
          </w:p>
        </w:tc>
        <w:tc>
          <w:tcPr>
            <w:tcW w:w="1650" w:type="dxa"/>
            <w:tcBorders>
              <w:left w:val="single" w:color="000000" w:sz="6" w:space="0"/>
              <w:bottom w:val="single" w:color="000000" w:sz="6" w:space="0"/>
              <w:right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15.00</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86.63</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71.63</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65.86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5.77</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15.00</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86.63</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71.63</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65.86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5.77</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15.00</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事业运行</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86.63</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71.63</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65.86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5.77</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15.00</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41.57</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41.57</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41.57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41.57</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41.57</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41.57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9.12</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9.12</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9.12</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32.45</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32.45</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32.45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3"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tblPrEx>
          <w:tblLayout w:type="fixed"/>
          <w:tblCellMar>
            <w:top w:w="55" w:type="dxa"/>
            <w:left w:w="55" w:type="dxa"/>
            <w:bottom w:w="55" w:type="dxa"/>
            <w:right w:w="55" w:type="dxa"/>
          </w:tblCellMar>
        </w:tblPrEx>
        <w:trPr>
          <w:trHeight w:val="319" w:hRule="atLeast"/>
        </w:trPr>
        <w:tc>
          <w:tcPr>
            <w:tcW w:w="10954" w:type="dxa"/>
            <w:gridSpan w:val="5"/>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tblPrEx>
          <w:tblLayout w:type="fixed"/>
          <w:tblCellMar>
            <w:top w:w="55" w:type="dxa"/>
            <w:left w:w="55" w:type="dxa"/>
            <w:bottom w:w="55" w:type="dxa"/>
            <w:right w:w="55" w:type="dxa"/>
          </w:tblCellMar>
        </w:tblPrEx>
        <w:trPr>
          <w:trHeight w:val="189" w:hRule="atLeast"/>
        </w:trPr>
        <w:tc>
          <w:tcPr>
            <w:tcW w:w="10954" w:type="dxa"/>
            <w:gridSpan w:val="5"/>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tblPrEx>
          <w:tblLayout w:type="fixed"/>
          <w:tblCellMar>
            <w:top w:w="55" w:type="dxa"/>
            <w:left w:w="55" w:type="dxa"/>
            <w:bottom w:w="55" w:type="dxa"/>
            <w:right w:w="55" w:type="dxa"/>
          </w:tblCellMar>
        </w:tblPrEx>
        <w:trPr>
          <w:trHeight w:val="138" w:hRule="atLeast"/>
        </w:trPr>
        <w:tc>
          <w:tcPr>
            <w:tcW w:w="9281" w:type="dxa"/>
            <w:gridSpan w:val="4"/>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连云港市公共信用信息中心</w:t>
            </w:r>
          </w:p>
        </w:tc>
        <w:tc>
          <w:tcPr>
            <w:tcW w:w="1673" w:type="dxa"/>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tblPrEx>
          <w:tblLayout w:type="fixed"/>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Layout w:type="fixed"/>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113.20</w:t>
            </w:r>
          </w:p>
        </w:tc>
        <w:tc>
          <w:tcPr>
            <w:tcW w:w="197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107.43</w:t>
            </w:r>
          </w:p>
        </w:tc>
        <w:tc>
          <w:tcPr>
            <w:tcW w:w="1673"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5.77</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89.28</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89.28</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18.53</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18.53</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28.29</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28.29</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13.39</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13.39</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4.05</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4.05</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6.84</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6.84</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0.96</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0.96</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9.12</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9.12</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5.77</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5.77</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2.74</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2.74</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会议费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1.01</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1.01</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1.42</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1.42</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18.15</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18.15</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18.15</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18.15</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tblPrEx>
          <w:tblLayout w:type="fixed"/>
          <w:tblCellMar>
            <w:top w:w="55" w:type="dxa"/>
            <w:left w:w="55" w:type="dxa"/>
            <w:bottom w:w="55" w:type="dxa"/>
            <w:right w:w="55" w:type="dxa"/>
          </w:tblCellMar>
        </w:tblPrEx>
        <w:trPr>
          <w:trHeight w:val="321" w:hRule="atLeast"/>
        </w:trPr>
        <w:tc>
          <w:tcPr>
            <w:tcW w:w="15909" w:type="dxa"/>
            <w:gridSpan w:val="8"/>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tblPrEx>
          <w:tblLayout w:type="fixed"/>
          <w:tblCellMar>
            <w:top w:w="55" w:type="dxa"/>
            <w:left w:w="55" w:type="dxa"/>
            <w:bottom w:w="55" w:type="dxa"/>
            <w:right w:w="55" w:type="dxa"/>
          </w:tblCellMar>
        </w:tblPrEx>
        <w:trPr>
          <w:trHeight w:val="207" w:hRule="atLeast"/>
        </w:trPr>
        <w:tc>
          <w:tcPr>
            <w:tcW w:w="15909" w:type="dxa"/>
            <w:gridSpan w:val="8"/>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tblPrEx>
          <w:tblLayout w:type="fixed"/>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连云港市公共信用信息中心</w:t>
            </w:r>
          </w:p>
        </w:tc>
        <w:tc>
          <w:tcPr>
            <w:tcW w:w="3840" w:type="dxa"/>
            <w:gridSpan w:val="2"/>
            <w:tcBorders>
              <w:bottom w:val="single" w:color="auto" w:sz="4" w:space="0"/>
            </w:tcBorders>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培训费</w:t>
            </w:r>
          </w:p>
        </w:tc>
      </w:tr>
      <w:tr>
        <w:tblPrEx>
          <w:tblLayout w:type="fixed"/>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r>
      <w:tr>
        <w:tblPrEx>
          <w:tblLayout w:type="fixed"/>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c>
          <w:tcPr>
            <w:tcW w:w="2332"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169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1852"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c>
          <w:tcPr>
            <w:tcW w:w="205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c>
          <w:tcPr>
            <w:tcW w:w="1783"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r>
    </w:tbl>
    <w:p>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5"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tblPrEx>
          <w:tblLayout w:type="fixed"/>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tblPrEx>
          <w:tblLayout w:type="fixed"/>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tblPrEx>
          <w:tblLayout w:type="fixed"/>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连云港市公共信用信息中心</w:t>
            </w:r>
          </w:p>
        </w:tc>
        <w:tc>
          <w:tcPr>
            <w:tcW w:w="2485" w:type="dxa"/>
            <w:tcBorders>
              <w:top w:val="nil"/>
              <w:left w:val="nil"/>
              <w:bottom w:val="single" w:color="auto" w:sz="4" w:space="0"/>
              <w:right w:val="nil"/>
            </w:tcBorders>
            <w:vAlign w:val="center"/>
          </w:tcPr>
          <w:p>
            <w:pPr>
              <w:pStyle w:val="22"/>
              <w:widowControl w:val="0"/>
              <w:jc w:val="right"/>
              <w:rPr>
                <w:rFonts w:hint="eastAsia" w:ascii="仿宋" w:hAnsi="仿宋" w:eastAsia="仿宋" w:cs="仿宋"/>
              </w:rPr>
            </w:pPr>
            <w:r>
              <w:rPr>
                <w:rFonts w:hint="eastAsia" w:ascii="仿宋" w:hAnsi="仿宋" w:eastAsia="仿宋" w:cs="仿宋"/>
              </w:rPr>
              <w:t>单位：万元</w:t>
            </w:r>
          </w:p>
        </w:tc>
      </w:tr>
      <w:tr>
        <w:tblPrEx>
          <w:tblLayout w:type="fixed"/>
          <w:tblCellMar>
            <w:top w:w="55" w:type="dxa"/>
            <w:left w:w="55" w:type="dxa"/>
            <w:bottom w:w="55" w:type="dxa"/>
            <w:right w:w="55" w:type="dxa"/>
          </w:tblCellMar>
        </w:tblPrEx>
        <w:trPr>
          <w:trHeight w:val="187" w:hRule="atLeast"/>
        </w:trPr>
        <w:tc>
          <w:tcPr>
            <w:tcW w:w="1618" w:type="dxa"/>
            <w:vMerge w:val="restart"/>
            <w:tcBorders>
              <w:top w:val="single" w:color="auto" w:sz="4" w:space="0"/>
              <w:left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tblPrEx>
          <w:tblLayout w:type="fixed"/>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项目支出</w:t>
            </w:r>
          </w:p>
        </w:tc>
      </w:tr>
      <w:tr>
        <w:tblPrEx>
          <w:tblLayout w:type="fixed"/>
          <w:tblCellMar>
            <w:top w:w="55" w:type="dxa"/>
            <w:left w:w="55" w:type="dxa"/>
            <w:bottom w:w="55" w:type="dxa"/>
            <w:right w:w="55" w:type="dxa"/>
          </w:tblCellMar>
        </w:tblPrEx>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tblPrEx>
          <w:tblLayout w:type="fixed"/>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tblPrEx>
          <w:tblLayout w:type="fixed"/>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6"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Ind w:w="0" w:type="dxa"/>
        <w:tblLayout w:type="fixed"/>
        <w:tblCellMar>
          <w:top w:w="0" w:type="dxa"/>
          <w:left w:w="108" w:type="dxa"/>
          <w:bottom w:w="0" w:type="dxa"/>
          <w:right w:w="108" w:type="dxa"/>
        </w:tblCellMar>
      </w:tblPr>
      <w:tblGrid>
        <w:gridCol w:w="1596"/>
        <w:gridCol w:w="3803"/>
        <w:gridCol w:w="3111"/>
        <w:gridCol w:w="3094"/>
        <w:gridCol w:w="3091"/>
      </w:tblGrid>
      <w:tr>
        <w:tblPrEx>
          <w:tblLayout w:type="fixed"/>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tblPrEx>
          <w:tblLayout w:type="fixed"/>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tblPrEx>
          <w:tblLayout w:type="fixed"/>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连云港市公共信用信息中心</w:t>
            </w:r>
          </w:p>
        </w:tc>
        <w:tc>
          <w:tcPr>
            <w:tcW w:w="3091" w:type="dxa"/>
            <w:tcBorders>
              <w:top w:val="nil"/>
              <w:left w:val="nil"/>
              <w:bottom w:val="nil"/>
              <w:right w:val="nil"/>
            </w:tcBorders>
            <w:shd w:val="clear" w:color="auto" w:fill="auto"/>
            <w:noWrap/>
            <w:vAlign w:val="center"/>
          </w:tcPr>
          <w:p>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tblPrEx>
          <w:tblLayout w:type="fixed"/>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tblPrEx>
          <w:tblLayout w:type="fixed"/>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tblPrEx>
          <w:tblLayout w:type="fixed"/>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tblPrEx>
          <w:tblLayout w:type="fixed"/>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tblPrEx>
          <w:tblLayout w:type="fixed"/>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tblPrEx>
          <w:tblLayout w:type="fixed"/>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tblPrEx>
          <w:tblLayout w:type="fixed"/>
          <w:tblCellMar>
            <w:top w:w="55" w:type="dxa"/>
            <w:left w:w="55" w:type="dxa"/>
            <w:bottom w:w="55" w:type="dxa"/>
            <w:right w:w="55" w:type="dxa"/>
          </w:tblCellMar>
        </w:tblPrEx>
        <w:trPr>
          <w:trHeight w:val="319" w:hRule="atLeast"/>
        </w:trPr>
        <w:tc>
          <w:tcPr>
            <w:tcW w:w="10235" w:type="dxa"/>
            <w:gridSpan w:val="4"/>
          </w:tcPr>
          <w:p>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tblPrEx>
          <w:tblLayout w:type="fixed"/>
          <w:tblCellMar>
            <w:top w:w="55" w:type="dxa"/>
            <w:left w:w="55" w:type="dxa"/>
            <w:bottom w:w="55" w:type="dxa"/>
            <w:right w:w="55" w:type="dxa"/>
          </w:tblCellMar>
        </w:tblPrEx>
        <w:trPr>
          <w:trHeight w:val="90" w:hRule="atLeast"/>
        </w:trPr>
        <w:tc>
          <w:tcPr>
            <w:tcW w:w="10235" w:type="dxa"/>
            <w:gridSpan w:val="4"/>
          </w:tcPr>
          <w:p>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tblPrEx>
          <w:tblLayout w:type="fixed"/>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连云港市公共信用信息中心</w:t>
            </w:r>
          </w:p>
        </w:tc>
        <w:tc>
          <w:tcPr>
            <w:tcW w:w="2351" w:type="dxa"/>
            <w:tcBorders>
              <w:bottom w:val="single" w:color="auto" w:sz="4" w:space="0"/>
            </w:tcBorders>
            <w:vAlign w:val="center"/>
          </w:tcPr>
          <w:p>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tblPrEx>
          <w:tblLayout w:type="fixed"/>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日常维修费、专用材料及一般设备购置费、办公用房水电费、办公用房取暖费、办公用房物业管理费、公务用车运行维护费及其他费用等。</w:t>
      </w:r>
    </w:p>
    <w:p>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7"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bookmarkStart w:id="0" w:name="_GoBack"/>
      <w:bookmarkEnd w:id="0"/>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连云港市公共信用信息中心</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连云港市公共信用信息中心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公共信用工作保障项目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r>
    </w:tbl>
    <w:p>
      <w:pPr>
        <w:bidi w:val="0"/>
        <w:rPr>
          <w:rFonts w:hint="eastAsia" w:ascii="仿宋" w:hAnsi="仿宋" w:eastAsia="仿宋" w:cs="仿宋"/>
          <w:b/>
          <w:bCs/>
          <w:sz w:val="22"/>
          <w:szCs w:val="22"/>
        </w:rPr>
        <w:sectPr>
          <w:footerReference r:id="rId18"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连云港市公共信用信息中心2026年度收入、支出预算总计128.2万元，与上年相比收、支预算总计各增加3.9万元，增长3.14%。其中：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（一）收入预算总计128.2万元。包括：</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1．本年收入合计128.2万元。</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（1）一般公共预算拨款收入128.2万元，与上年相比增加3.9万元，增长3.14%。主要原因是依据相关政策规定、标准调整，单位相应运行经费增加。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（二）支出预算总计128.2万元。包括：</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1．本年支出合计128.2万元。</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（1）一般公共服务支出（类）支出86.63万元，主要用于单位运转经费开支。与上年相比增加3.08万元，增长3.69%。主要原因是依据相关政策规定、标准调整，单位相应运行经费增加。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（2）住房保障支出（类）支出41.57万元，主要用于单位人员经费支出。与上年相比增加0.82万元，增长2.01%。主要原因是依据相关政策规定、标准调整，单位相应运行经费增加。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连云港市公共信用信息中心2026年收入预算合计128.2万元，包括本年收入128.2万元，上年结转结余0万元。</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本年一般公共预算收入128.2万元，占100%；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3"/>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连云港市公共信用信息中心2026年支出预算合计128.2万元，其中：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基本支出113.2万元，占88.3%；</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项目支出15万元，占11.7%；</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连云港市公共信用信息中心2026年度财政拨款收、支总预算128.2万元。与上年相比，财政拨款收、支总计各增加3.9万元，增长3.14%。主要原因是依据相关政策规定、标准调整，单位相应运行经费增加。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连云港市公共信用信息中心2026年财政拨款预算支出128.2万元，占本年支出合计的100%。与上年相比，财政拨款支出增加3.9万元，增长3.14%。主要原因是依据相关政策规定、标准调整，单位相应运行经费增加。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（一）一般公共服务支出（类）</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发展与改革事务（款）事业运行（项）支出86.63万元，与上年相比增加3.08万元，增长3.69%。主要原因是依据相关政策规定、标准调整，单位相应运行经费增加。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（二）住房保障支出（类）</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1.住房改革支出（款）住房公积金（项）支出9.12万元，与上年相比增加0.77万元，增长9.22%。主要原因是依据相关政策规定、标准调整，单位相应运行经费增加。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2.住房改革支出（款）提租补贴（项）支出32.45万元，与上年相比增加0.05万元，增长0.15%。主要原因是依据相关政策规定、标准调整，单位相应运行经费增加。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连云港市公共信用信息中心2026年度财政拨款基本支出预算113.2万元，其中：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（一）人员经费107.43万元。主要包括：基本工资、津贴补贴、奖金、机关事业单位基本养老保险缴费、职业年金缴费、职工基本医疗保险缴费、其他社会保障缴费、住房公积金、退休费。</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（二）公用经费5.77万元。主要包括：办公费、会议费、培训费、公务接待费、工会经费、其他商品和服务支出。</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连云港市公共信用信息中心2026年一般公共预算财政拨款支出预算128.2万元，与上年相比增加3.9万元，增长3.14%。主要原因是依据相关政策规定、标准调整，单位相应运行经费增加。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连云港市公共信用信息中心2026年度一般公共预算财政拨款基本支出预算113.2万元，其中：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（一）人员经费107.43万元。主要包括：基本工资、津贴补贴、奖金、机关事业单位基本养老保险缴费、职业年金缴费、职工基本医疗保险缴费、其他社会保障缴费、住房公积金、退休费。</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（二）公用经费5.77万元。主要包括：办公费、会议费、培训费、公务接待费、工会经费、其他商品和服务支出。</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度一般公共预算拨款安排的“三公”经费支出预算0.2万元，与上年预算数相同。其中，因公出国（境）费支出0万元，占“三公”经费的0%；公务用车购置及运行维护费支出0万元，占“三公”经费的0%；公务接待费支出0.2万元，占“三公”经费的100%。具体情况如下：</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2．公务用车购置及运行维护费预算支出0万元。其中：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3．公务接待费预算支出0.2万元，与上年预算数相同。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连云港市公共信用信息中心2026年度一般公共预算拨款安排的会议费预算支出0.2万元，与上年预算数相同。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连云港市公共信用信息中心2026年度一般公共预算拨款安排的培训费预算支出0.2万元，与上年预算数相同。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连云港市公共信用信息中心2026年政府性基金支出预算支出0万元。与上年预算数相同。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连云港市公共信用信息中心2026年国有资本经营预算支出0万元。与上年预算数相同。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2026年度政府采购支出预算总额0.06万元，其中：拟采购货物支出0.06万元、拟采购工程支出0万元、拟采购服务支出0万元。</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0辆，其中，副部（省）级及以上领导用车0辆、主要负责人用车0辆、机要通信用车0辆、应急保障用车0辆、执法执勤用车0辆、特种专业技术用车0辆、离退休干部用车0辆，其他用车0辆；单价100万元（含）以上的设备0台（套）。</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128.2万元；本单位共1个项目纳入绩效目标管理，涉及财政性资金合计15万元，占财政性资金(人员类和运转类中的公用经费项目支出除外)总额的比例为100%。</w:t>
      </w:r>
      <w:r>
        <w:rPr>
          <w:rFonts w:ascii="仿宋" w:eastAsia="仿宋" w:hAnsi="仿宋" w:cs="仿宋"/>
          <w:u w:color="auto"/>
        </w:rPr>
        <w:t/>
      </w:r>
    </w:p>
    <w:p>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八、一般公共服务支出(类)发展与改革事务(款)事业运行(项)</w:t>
      </w:r>
      <w:r>
        <w:rPr>
          <w:b w:val="on"/>
          <w:rFonts w:ascii="仿宋" w:eastAsia="仿宋" w:hAnsi="仿宋" w:cs="仿宋"/>
          <w:u w:color="auto"/>
        </w:rPr>
        <w:t>：</w:t>
      </w:r>
      <w:r>
        <w:rPr>
          <w:rFonts w:hint="eastAsia" w:ascii="仿宋" w:hAnsi="仿宋" w:eastAsia="仿宋" w:cs="仿宋"/>
        </w:rPr>
        <w:t>反映事业单位的基本支出，不包括行政单位（包括实行公务员管理的事业单位）后勤服务中心、医务室等附属事业单位。</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000000" w:sz="4" w:space="1"/>
      </w:pBdr>
      <w:jc w:val="both"/>
      <w:rPr>
        <w:rFonts w:hint="default" w:eastAsia="Arial Unicode MS"/>
        <w:lang w:val="en-US" w:eastAsia="zh-CN"/>
      </w:rPr>
    </w:pPr>
    <w:r>
      <w:rPr>
        <w:rFonts w:hint="eastAsia"/>
        <w:lang w:val="en-US" w:eastAsia="zh-CN"/>
        <w:u/>
      </w:rPr>
      <w:t>连云港市公共信用信息中心</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46FE0"/>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Layout w:type="fixed"/>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6.xml" Type="http://schemas.openxmlformats.org/officeDocument/2006/relationships/footer"/><Relationship Id="rId11" Target="footer7.xml" Type="http://schemas.openxmlformats.org/officeDocument/2006/relationships/footer"/><Relationship Id="rId12" Target="footer8.xml" Type="http://schemas.openxmlformats.org/officeDocument/2006/relationships/footer"/><Relationship Id="rId13" Target="footer9.xml" Type="http://schemas.openxmlformats.org/officeDocument/2006/relationships/footer"/><Relationship Id="rId14" Target="footer10.xml" Type="http://schemas.openxmlformats.org/officeDocument/2006/relationships/footer"/><Relationship Id="rId15" Target="footer11.xml" Type="http://schemas.openxmlformats.org/officeDocument/2006/relationships/footer"/><Relationship Id="rId16" Target="footer12.xml" Type="http://schemas.openxmlformats.org/officeDocument/2006/relationships/footer"/><Relationship Id="rId17" Target="footer13.xml" Type="http://schemas.openxmlformats.org/officeDocument/2006/relationships/footer"/><Relationship Id="rId18" Target="footer14.xml" Type="http://schemas.openxmlformats.org/officeDocument/2006/relationships/footer"/><Relationship Id="rId19" Target="footer15.xml" Type="http://schemas.openxmlformats.org/officeDocument/2006/relationships/footer"/><Relationship Id="rId2" Target="settings.xml" Type="http://schemas.openxmlformats.org/officeDocument/2006/relationships/settings"/><Relationship Id="rId20" Target="theme/theme1.xml" Type="http://schemas.openxmlformats.org/officeDocument/2006/relationships/theme"/><Relationship Id="rId21" Target="../customXml/item1.xml" Type="http://schemas.openxmlformats.org/officeDocument/2006/relationships/customXml"/><Relationship Id="rId22" Target="fontTable.xml" Type="http://schemas.openxmlformats.org/officeDocument/2006/relationships/fontTable"/><Relationship Id="rId23" Target="media/image1.jpeg" Type="http://schemas.openxmlformats.org/officeDocument/2006/relationships/image"/><Relationship Id="rId24" Target="media/image2.jpeg" Type="http://schemas.openxmlformats.org/officeDocument/2006/relationships/image"/><Relationship Id="rId3" Target="header1.xml" Type="http://schemas.openxmlformats.org/officeDocument/2006/relationships/header"/><Relationship Id="rId4" Target="header2.xml" Type="http://schemas.openxmlformats.org/officeDocument/2006/relationships/header"/><Relationship Id="rId5" Target="footer1.xml" Type="http://schemas.openxmlformats.org/officeDocument/2006/relationships/footer"/><Relationship Id="rId6" Target="footer2.xml" Type="http://schemas.openxmlformats.org/officeDocument/2006/relationships/footer"/><Relationship Id="rId7" Target="footer3.xml" Type="http://schemas.openxmlformats.org/officeDocument/2006/relationships/footer"/><Relationship Id="rId8" Target="footer4.xml" Type="http://schemas.openxmlformats.org/officeDocument/2006/relationships/footer"/><Relationship Id="rId9" Target="footer5.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Administrator</cp:lastModifiedBy>
  <dcterms:modified xsi:type="dcterms:W3CDTF">2026-02-26T06:28:26Z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2052-11.1.0.9021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