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连云港市发展和改革委员会</w:t>
            </w:r>
            <w:r>
              <w:rPr>
                <w:b w:val="on"/>
                <w:rFonts w:ascii="宋体" w:eastAsia="宋体" w:hAnsi="宋体" w:cs="宋体"/>
                <w:sz w:val="52"/>
                <w:u w:color="auto"/>
              </w:rPr>
              <w:t xml:space="preserve"></w:t>
              <w:br w:type="textWrapping"/>
              <w:t>部门预算公开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部门</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部门</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部门</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部门</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部门</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部门</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拟订并组织实施全市国民经济和社会发展战略、中长期规划和年度计划。牵头组织全市统一规划体系建设，负责市级专项规划、区域规划、空间规划与全市发展规划的统筹衔接。组织起草职责范围内有关地方性法规、规章草案。</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（二）提出加快建设全市现代化经济体系、推动高质量发展的总体目标、重大任务以及相关政策。组织开展重大战略规划、重大政策、重大工程等评估督导，提出相关调整建议。</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统筹提出全市国民经济和社会发展主要目标，监测预测预警宏观经济和社会发展态势趋势。综合协调宏观经济政策，牵头研究宏观经济应对措施。调节经济运行，协调解决经济运行中的重大问题。拟订并组织实施有关价格政策，组织制定市级管理的重要商品、服务价格和重要收费标准。参与拟订市级财政政策和土地政策。</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指导推进和综合协调全市经济体制改革有关工作。统筹推进供给侧结构性改革。协调推进产权制度和要素市场化配置改革。推动完善相关经济制度和现代市场体系建设。会同相关部门组织实施市场准入负面清单制度。牵头推进全市优化营商环境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（五）研究协调有关利用外资、境外投资和国际产能合作的政策，参与研究对外开放的有关问题，承担统筹协调“走出去”有关工作。牵头推进实施全市“一带一路”建设工作。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六）负责投资综合管理，拟订全市全社会固定资产投资总规模、结构调控目标和政策，会同相关部门拟订政府投资项目审批权限和政府核准的固定资产投资项目目录。按权限审批、核准、审核、备案重大项目。安排市级有关财政性专项建设资金。协调推进全市重大项目建设。拟订并推动落实全市鼓励民间投资政策措施。</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七）推进落实区域协调发展战略、新型城镇化战略和重大政策，组织拟订相关区域规划和政策。推动落实“一带一路”建设、长江经济带发展、长三角区域一体化发展和沿海地区发展、淮河生态经济带等国家重大战略。统筹推进沿海经济带、淮海经济区、国家东中西区域合作示范区等重点功能区建设。组织编制并推动实施全市新型城镇化规划。牵头协调推进市际对口帮扶、对口支援和对口合作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八）组织拟订全市综合性产业政策。协调全市一二三产业发展重大问题并统筹衔接相关发展规划和重大政策。统筹规划全市重大产业项目和生产力布局。协调推进重大基础设施建设发展，组织拟订并推动实施全市服务业战略规划和重大政策，推进先进制造业与现代服务业融合发展。综合研判全市消费变动趋势，拟订实施促进消费的综合性政策措施。</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九）推动实施创新驱动发展战略。会同相关部门拟订推进全市创新创业的规划和政策，提出创新发展和培育经济发展新动能的政策。会同相关部门规划布局全市重大科技基础设施。组织拟订并推动实施全市高技术产业和战略性新兴产业发展规划政策，协调产业升级、重大技术装备推广应用等方面的重大问题。</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跟踪研判经济安全等风险隐患，提出相关工作建议。负责全市重要商品总量平衡和宏观调控，协调落实重要工业品、原材料和重要农产品进出口调控措施。会同有关部门拟订市级储备物资品种目录、总体发展规划。</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一）负责全市社会发展与国民经济发展的政策衔接，协调有关重大问题。组织拟订全市社会发展战略、总体规划，统筹推进基本公共服务体系建设和收入分配制度改革，提出促进就业、完善社会保障与经济协调发展的政策建议。牵头开展全市社会信用体系建设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二）推进实施可持续发展战略，协调生态环境保护与修复、能源资源节约和综合利用等工作。会同有关部门提出健全全市生态保护补偿机制的政策措施，综合协调环保产业和清洁生产促进有关工作。提出全市能源消费总量控制目标、任务并组织实施。</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三）拟订能源发展规划、计划、政策并组织实施，推进能源体制改革，拟订有关改革方案，协调能源发展和改革中的重大问题。研究能源战略布局和结构调整，推进能源生产和消费革命，构建清洁低碳、安全高效的能源体系。承担能源行业管理职能，负责能源中长期需求预测预警，发布相关信息，按职责开展能源运行调节、应急保障等工作。拟订能源行业地方性标准并组织实施，监测能源发展状况，衔接能源生产建设和供需平衡。</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四）推进能源行业节能和资源综合利用，组织能源重大设备研发，指导能源科技进步、成套设备的引进消化创新，组织协调相关重大示范工程和推广应用新产品、新技术、新设备。负责编制政府性扶持新能源和可再生能源、能源行业节能等专项资金计划，并监督实施。参与制定与能源相关的资源、财税、环保及应对气候变化等政策，提出能源价格调整和总量平衡的建议。</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（十五）负责全市经济社会发展目标任务的考核和推进工作，组织开展全市高质量发展考核。</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（十六）会同有关部门拟订推进全市经济建设与国防建设协调发展的战略和规划。推动实施军民融合发展战略，组织编制全市国民经济（装备）动员规划，协调和组织实施全市国民经济（装备）动员有关工作。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七）承担市委军民融合发展委员会日常工作，综合协调全市军民融合发展工作，对全市各地军民融合发展工作进行督促指导。汇总全市军民融合发展总体需求，编制并组织实施军民融合发展规划，研究拟订市军民融合发展重要政策和相关体制机制改革方案。指导全市军民融合发展重要政策理论和实践问题研究，协调推动全市军民融合发展相关法规、政策制度及标准规范建设。组织实施全市军民融合发展重大项目（专项工程）和重要事项，组织开展军民融合创新平台和智库建设。协调地方经济与国防建设有关问题，研究经济建设重大项目服务保障国防的有关事项。</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八）起草全市粮食流通和物资储备管理的地方性法规、规章草案。研究提出粮食流通和物资储备体制改革方案并组织实施。组织实施全市战略和应急储备物资的收储、轮换和日常管理，落实有关动用计划和指令。管理全市粮食、棉花和食糖储备，负责市级储备粮棉行政管理。监测粮食和战略物资供求变化并预测预警，承担全市粮食流通宏观调控的具体工作，承担粮食安全责任制考核日常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九）根据国家储备总体发展规划和省、市储备发展规划，统一负责储备基础设施建设和管理。拟订全市储备基础设施、粮食流通设施建设规划并组织实施，管理有关储备基础设施和粮食流通设施市级投资项目。组织实施粮食和物资储备仓储管理有关技术标准和规范。负责粮食流通、加工行业安全生产工作的监督管理，承担物资储备承储单位安全生产的监管责任。</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十）负责粮食流通行业管理，制定行业发展规划、政策，监督执行粮食流通和物资储备有关标准和技术规范。负责粮食和物资储备的对外合作与交流。负责对管理的政府储备、企业储备以及储备政策落实情况进行监督检查。负责粮食流通监督检查，负责粮食收购、储存、运输环节粮食质量安全和原粮卫生的监督管理，组织实施全市粮食库存检查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（二十一）完成市委、市政府和市委军民融合发展委员会交办的其他任务。</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部门</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hint="eastAsia" w:ascii="仿宋" w:hAnsi="仿宋" w:eastAsia="仿宋" w:cs="仿宋"/>
          <w:lang w:val="en-US" w:eastAsia="zh-CN"/>
          <w:u/>
        </w:rPr>
        <w:t>1.</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部门</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本部门内设机构包括：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办公室、发展战略和规划处（市规划落实推进工作办公室）、区域经济与支援合作处（长三角区域一体化发展处）、沿海发展处、国民经济综合处（财政金融处、经济运行调节局）、固定资产投资处（基础设施发展处，长江经济带发展处）、“一带一路”发展处（利用外资和境外投资处）、农村经济处、创新和高技术发展处（工业处）、服务业处（经济贸易处）、电力煤炭处、新能源和石油天然气处、资源节约和环境保护处、社会发展处、市目标管理办公室、经济体制改革处、行政服务处（法规处）、信用建设处、收费管理和价格调控处、价格管理和成本监审处、经济与国防协调发展处、军民融合推进处、粮食和物资储备处、粮食和物资监管处、安全仓储与科技处、评估督查处、人防指挥和通信处、人防平战结合处、综合协调处、财务审计处、人事教育处、机关党委、离退休干部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部门下属单位包括：连云港市投资项目咨询评审中心，连云港市粮油质量监测所，连云港市价格认定局，连云港市价格监测中心，连云港市公共信用信息中心，连云港市军粮供应站，连云港市民防指挥信息保障中心，连云港市“一带一路”建设促进中心。</w:t>
      </w:r>
      <w:r>
        <w:rPr>
          <w:rFonts w:ascii="仿宋" w:eastAsia="仿宋" w:hAnsi="仿宋" w:cs="仿宋"/>
          <w:u w:color="auto"/>
        </w:rPr>
        <w:t/>
      </w:r>
      <w:r>
        <w:rPr>
          <w:rFonts w:ascii="仿宋" w:eastAsia="仿宋" w:hAnsi="仿宋" w:cs="仿宋"/>
          <w:u w:color="auto"/>
        </w:rPr>
        <w:t/>
      </w:r>
    </w:p>
    <w:p w14:paraId="4D6F6C6A">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2.</w:t>
      </w:r>
      <w:r>
        <w:rPr>
          <w:rFonts w:hint="eastAsia" w:ascii="仿宋" w:hAnsi="仿宋" w:eastAsia="仿宋" w:cs="仿宋"/>
        </w:rPr>
        <w:t>从</w:t>
      </w:r>
      <w:r>
        <w:rPr>
          <w:rFonts w:hint="eastAsia" w:ascii="仿宋" w:hAnsi="仿宋" w:eastAsia="仿宋" w:cs="仿宋"/>
          <w:lang w:eastAsia="zh-CN"/>
        </w:rPr>
        <w:t>预算</w:t>
      </w:r>
      <w:r>
        <w:rPr>
          <w:rFonts w:hint="eastAsia" w:ascii="仿宋" w:hAnsi="仿宋" w:eastAsia="仿宋" w:cs="仿宋"/>
        </w:rPr>
        <w:t>单位构成看，纳入本</w:t>
      </w:r>
      <w:r>
        <w:rPr>
          <w:rFonts w:hint="eastAsia" w:ascii="仿宋" w:hAnsi="仿宋" w:eastAsia="仿宋" w:cs="仿宋"/>
          <w:lang w:val="en-US" w:eastAsia="zh-CN"/>
        </w:rPr>
        <w:t>部门</w:t>
      </w:r>
      <w:r>
        <w:rPr>
          <w:rFonts w:hint="eastAsia" w:ascii="仿宋" w:hAnsi="仿宋" w:eastAsia="仿宋" w:cs="仿宋"/>
          <w:lang w:eastAsia="zh-CN"/>
        </w:rPr>
        <w:t>2026</w:t>
      </w:r>
      <w:r>
        <w:rPr>
          <w:rFonts w:hint="eastAsia" w:ascii="仿宋" w:hAnsi="仿宋" w:eastAsia="仿宋" w:cs="仿宋"/>
        </w:rPr>
        <w:t>年</w:t>
      </w:r>
      <w:r>
        <w:rPr>
          <w:rFonts w:hint="eastAsia" w:ascii="仿宋" w:hAnsi="仿宋" w:eastAsia="仿宋" w:cs="仿宋"/>
          <w:lang w:val="en-US" w:eastAsia="zh-CN"/>
        </w:rPr>
        <w:t>部门</w:t>
      </w:r>
      <w:r>
        <w:rPr>
          <w:rFonts w:hint="eastAsia" w:ascii="仿宋" w:hAnsi="仿宋" w:eastAsia="仿宋" w:cs="仿宋"/>
        </w:rPr>
        <w:t>汇总</w:t>
      </w:r>
      <w:r>
        <w:rPr>
          <w:rFonts w:hint="eastAsia" w:ascii="仿宋" w:hAnsi="仿宋" w:eastAsia="仿宋" w:cs="仿宋"/>
          <w:lang w:eastAsia="zh-CN"/>
        </w:rPr>
        <w:t>预算</w:t>
      </w:r>
      <w:r>
        <w:rPr>
          <w:rFonts w:hint="eastAsia" w:ascii="仿宋" w:hAnsi="仿宋" w:eastAsia="仿宋" w:cs="仿宋"/>
        </w:rPr>
        <w:t>编制范围的预算单位共计</w:t>
      </w:r>
      <w:r>
        <w:rPr>
          <w:rFonts w:hint="eastAsia" w:ascii="仿宋" w:hAnsi="仿宋" w:eastAsia="仿宋" w:cs="仿宋"/>
          <w:lang w:val="en-US"/>
          <w:u/>
        </w:rPr>
        <w:t/>
      </w:r>
      <w:r>
        <w:rPr>
          <w:rFonts w:ascii="仿宋" w:eastAsia="仿宋" w:hAnsi="仿宋" w:cs="仿宋"/>
          <w:u w:color="auto"/>
        </w:rPr>
        <w:t/>
      </w:r>
      <w:r>
        <w:rPr>
          <w:rFonts w:ascii="仿宋" w:eastAsia="仿宋" w:hAnsi="仿宋" w:cs="仿宋"/>
          <w:u w:color="auto"/>
        </w:rPr>
        <w:t>9</w:t>
      </w:r>
      <w:r>
        <w:rPr>
          <w:rFonts w:ascii="仿宋" w:eastAsia="仿宋" w:hAnsi="仿宋" w:cs="仿宋"/>
          <w:u w:color="auto"/>
        </w:rPr>
        <w:t/>
      </w:r>
      <w:r>
        <w:rPr>
          <w:rFonts w:ascii="仿宋" w:eastAsia="仿宋" w:hAnsi="仿宋" w:cs="仿宋"/>
          <w:u w:color="auto"/>
        </w:rPr>
        <w:t/>
      </w:r>
      <w:r>
        <w:rPr>
          <w:rFonts w:hint="eastAsia" w:ascii="仿宋" w:hAnsi="仿宋" w:eastAsia="仿宋" w:cs="仿宋"/>
        </w:rPr>
        <w:t>家，具体包括：</w:t>
      </w:r>
      <w:r>
        <w:rPr>
          <w:rFonts w:hint="eastAsia" w:ascii="仿宋" w:hAnsi="仿宋" w:eastAsia="仿宋" w:cs="仿宋"/>
          <w:lang w:val="en-US"/>
          <w:u/>
        </w:rPr>
        <w:t/>
      </w:r>
      <w:r>
        <w:rPr>
          <w:rFonts w:ascii="仿宋" w:eastAsia="仿宋" w:hAnsi="仿宋" w:cs="仿宋"/>
          <w:u w:color="auto"/>
        </w:rPr>
        <w:t/>
      </w:r>
      <w:r>
        <w:rPr>
          <w:rFonts w:ascii="仿宋" w:eastAsia="仿宋" w:hAnsi="仿宋" w:cs="仿宋"/>
          <w:u w:color="auto"/>
        </w:rPr>
        <w:t>连云港市发展和改革委员会（机关），连云港市投资项目咨询评审中心，连云港市粮油质量监测所，连云港市价格认定局，连云港市价格监测中心，连云港市公共信用信息中心，连云港市军粮供应站，连云港市民防指挥信息保障中心，连云港市“一带一路”建设促进中心。</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部门</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加强统筹谋划，持续提升发展硬实力。一是做好“十五五”规划实施。全面落实市委规划《建议》，编制完成“十五五”规划《纲要》，聚焦产业高端化、高水平对外开放等重点领域，序时推动65个市级专项规划编制工作，确保在上半年全部印发实施。推动我市“四个重大”事项落地见效。二是加强经济工作组织。搭建先行性指标、实物量指标、综合性指标等多维立体指标监测体系，开展信号预警、过程落地、结果核算等全流程监测，推动经济运行持续回升向好。依托强优企业、重点项目挂钩走访机制，摸清摸准行业、企业运行态势，及时采取稳增长、稳预期举措，实现“以分析促政策、以政策提指标”良性循环。三是用好国家政策红利。扎实承接、配套好国家、省政策，推动各项政策直达快享。积极争取国家支持，力争重大石化项目取得突破性进展。围绕进一步提升新亚欧陆海联运通道能级、产业发展、项目建设、对外开放等重点问题，加强调查研究，开展前瞻性预研，谋划一批管用有效的办法举措。</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扩大有效投资，持续夯实发展硬支撑。一是加快重大项目建设。优化重大项目全生命周期服务，落实市长挂钩联系项目机制，发挥重大项目服务专班职能，着力破除重大项目用地、环评、用能等要素制约。加快推进623个市重点项目建设，力促盛虹化工新材料、200万千瓦滩涂光伏等一批重大项目早投产快达效，确保完成产业投资1300亿元。二是推动企业增资扩产。参与组建省增资扩产基金，将增资扩产和设备更新、技术改造相结合，鼓励存量企业利用现有的产能、产线增资扩产。鼓励民间资本参与重大项目建设，推动形成政府投资与民间投资良性互动的格局。三是积极争取资金支持。提升“两重”项目资金配套和使用进度。谋划一批基础设施领域REITs、ABS等示范性项目，积极争取中央预算内投资、超长期特别国债、专项债券、政策性金融工具等资金支持。</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夯实产业根基，持续积蓄发展强动能。一是加速构建现代化产业体系。按照“巩固提升优势产业、做大做强特色产业、培育发展未来产业”思路，全力打造“755”先进制造业体系。全面开展“人工智能+”行动，扩大“悟空智算”等算力规模，积极打造智能应用场景。建强“N个1”推进机制，支持县域因地制宜培育特色优势产业。二是加快推动服务业高质量发展。聚焦港航物流、现代商贸等特色产业，实施服务业扩能提质行动，推进生产性服务业向专业化、高端化迈进，促进生活性服务业向高品质、多样化升级，确保规上服务业营收增长11%以上。三是持续做好为企服务。依托市领导挂钩重点产业链机制，推动重点产业发展。实施场景创新行动，推动新技术、新产品验证应用。优化强优企业库，谋划一批针对性举措，助力企业做大做强。</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融入重大战略，持续拓展发展新空间。一是着力提升开放水平。争取国家出台支持新亚欧陆海联运通道高质量发展政策文件，开展双向开放综合改革试点。推动中哈（连云港）物流合作基地与沿线无水港互联互通，提升阿克套港集装箱枢纽运营水平。高标准共建连徐中欧班列集结中心，力争班列开行突破920列。二是纵深推进区域协同。加强基础设施互联互通，畅通沿海至长三角其他区域交通通道。深化与上海港合作，与长三角发达地区产业科技合作。持续深化南北结对帮扶合作，促进产业链供应链深度对接，以特色园区打造为突破口，推动共建园区高质发展。深入实施《苏皖鲁豫省际交界地区协同推进高质量发展行动方案》，推动区域联动融合发展迈向新台阶。三是高效集聚海洋动能。聚焦产业强海、科技兴海、生态护海、开放活海，出台“十五五”沿海发展规划、海洋经济发展规划、现代海洋城市建设方案。常态化实施“两会三清单季调度”机制，大力推动海洋经济重点事项、重点载体平台、重点项目落地落实。深入推进国家海洋经济发展示范区、国家沿海渔港经济区建设，着力打造彰显山海特色的现代海洋城市。</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全面深化改革，持续增强发展新动力。一是创新打造更优营商环境。全面做好涉企业服务，推动“高效办成一件事”“综合查一次”等改革走深走实，一体推进“一网通办”“好差评”制度，提升诉求问题办理质效。加大创新项目推进力度，积极争取省级以上改革事项试点。推广专项信用报告，争创全国社会信用体系建设示范区。推动物流业降本提质增效，总结提炼一批典型案例，持续擦亮“连心城·贴心港”营商环境品牌。二是加快推动民营经济发展。深入实施民营经济促进法、民营经济23条，定期组织召开企业家座谈会，健全民营企业常态化沟通交流、闭环办理问题等工作机制，助力民营经济发展壮大。深化市场准入负面清单管理，加大对民营企业要素获取、权益保护、降本增效等支持力度，积极融入全国统一大市场。三是纵深推进绿色低碳转型。锚定“双碳”目标任务，探索零碳园区建设路径，持续加大绿电绿证使用推广力度，推动核能综合利用与石化基地联动发展。建设新型能源体系，坚持风光水核等多能并举，规模化开发“风光”资源，科学推进分布式光伏开发，加快推进中核田湾200万千瓦滩涂光伏、风光同场海上光伏、抽水蓄能等项目建设。</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六）聚焦共富惠民，绘就民生幸福新图纸。一是守好民生底线。聚焦交通、医疗、教育等民生关切，用心用情办好50件民生实事。系统应对人口老龄化发展趋势，着力破解“一老一小”等群众急难愁盼问题。扛牢粮食安全责任，严密组织粮食收购和质量安全风险监测，持续开展与无锡粮食产销合作，扎实做好军粮供应保障工作。二是促进共同富裕。深入谋划共同富裕具体路径，拓宽富民增收渠道，推动居民人均可支配收入稳步增长、城乡居民收入比持续缩小。健全养老、殡葬、物业、停车等民生服务价格监督管理机制，稳妥有序推进公用事业价格改革。做好重要民生商品保供稳价工作，确保居民消费价格涨幅在省控线内。三是守牢安全底线。加快人防机动指挥通信系统建设，驰而不息完善现代化国防动员体系。提升油气长输管道保护和电力行业安全管理水平，规范粮食出入库、熏蒸作业、外包服务等重点环节管理，统筹协调集中式光伏、海上风电、电化学新型储能等新兴领域安全生产相关工作，推动安全生产形势持续稳定。</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连云港市发展和改革委员会</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部门</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连云港市发展和改革委员会</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7,445.12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4,892.43</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289.09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167.55</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1,893.96</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202.09</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7,445.12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7,445.12</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7,445.12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7,445.12</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部门</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部门</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7,445.12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7,445.12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7,445.12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074</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连云港市发展和改革委员会</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7,445.12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7,445.12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7,445.12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074001</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连云港市发展和改革委员会（机关）</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5,311.42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5,311.42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5,311.42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074004</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连云港市投资项目咨询评审中心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217.22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217.22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217.22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074006</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连云港市粮油质量监测所</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292.39</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292.39</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292.39</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074008</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连云港市价格认定局</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221.46</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221.46</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221.46</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074009</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连云港市价格监测中心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148.70</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148.70</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148.70</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074029</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连云港市公共信用信息中心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128.20</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128.20</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128.20</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074030</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连云港市军粮供应站</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217.54</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217.54</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217.54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074229</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连云港市民防指挥信息保障中心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712.55</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712.55</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712.55</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074269</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连云港市“一带一路”建设促进中心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195.64</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195.64</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195.64</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7,445.12</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5,491.15</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1,953.97</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4,892.43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3,313.93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1,578.50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2010350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4,624.94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3,046.44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1,578.50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物价管理</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296.18</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225.18</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事业运行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392.61</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303.11</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89.50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国防支出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20306</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国防动员</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2030603</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人民防空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20828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退役军人管理事务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2082805</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军供保障</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426.44</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426.44</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1,467.52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1,467.52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粮油物资储备支出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粮油物资事务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2220199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其他粮油物资事务支出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sz w:val="22"/>
                <w:szCs w:val="22"/>
              </w:rPr>
              <w:t>连云港市发展和改革委员会</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7,445.12</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7,445.12</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7,445.12</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4,892.43</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289.09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167.55</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1,893.96</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202.09</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7,445.12</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7,445.12</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7,445.12</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5,491.15</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5,162.68</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328.47</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1,953.97</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4,892.43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3,313.93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3,014.40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299.53</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1,578.50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26.84</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2010350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267.49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240.65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26.84</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发展与改革事务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4,624.94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3,046.44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2,773.75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272.69</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1,578.50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2,518.15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2,518.15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2,294.40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223.75</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1,418.00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1,418.00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物价管理</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296.18</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225.18</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202.00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23.18</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71.00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392.61</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303.11</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277.35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25.76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89.50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国防支出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20306</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国防动员</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2030603</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人民防空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289.09</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167.55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118.57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104.65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13.92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48.98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20828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退役军人管理事务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167.55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118.57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104.65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13.92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48.98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2082805</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军供保障</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167.55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118.57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104.65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13.92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48.98</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1,893.96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1,893.96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1,893.96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1,893.96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1,893.96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1,893.96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426.44</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426.44</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426.44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1,467.52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1,467.52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1,467.52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粮油物资储备支出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164.69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149.67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粮油物资事务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164.69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149.67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2220199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其他粮油物资事务支出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202.09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164.69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149.67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15.02</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37.40</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sz w:val="22"/>
                <w:szCs w:val="22"/>
              </w:rPr>
              <w:t>连云港市发展和改革委员会</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5,491.15</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5,162.68</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328.47</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4,283.55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4,283.55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846.20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846.20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1,536.26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1,536.26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585.03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585.03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350.94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350.94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175.47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175.47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296.92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296.92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38.64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38.64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426.44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426.44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27.65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27.65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328.47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328.47</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37.76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37.76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印刷费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0.10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0.10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1.40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12.00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39.04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39.04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因公出国（境）费用</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15.00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11.60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11.60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10.90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10.90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12.47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12.47</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6.85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6.85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委托业务费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2.50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43.86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43.86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113.99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113.99</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879.13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879.13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离休费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73.23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73.23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801.26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801.26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生活补助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4.64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4.64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7,445.12</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5,491.15</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5,162.68</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328.47</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1,953.97</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4,892.43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3,313.93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3,014.40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299.53</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1,578.50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政府办公厅（室）及相关机构事务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26.84</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2010350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267.49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240.65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26.84</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4,624.94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3,046.44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2,773.75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272.69</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1,578.50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2,294.40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物价管理</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296.18</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225.18</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23.18</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71.00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2010450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392.61</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303.11</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277.35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25.76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89.50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国防支出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20306</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国防动员</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2030603</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人民防空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289.09</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104.65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13.92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20828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退役军人管理事务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104.65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13.92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2082805</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军供保障</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167.55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118.57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104.65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13.92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48.98</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1,893.96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426.44</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426.44</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426.44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1,467.52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1,467.52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1,467.52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粮油物资储备支出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149.67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粮油物资事务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149.67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2220199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其他粮油物资事务支出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202.09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164.69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149.67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15.02</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37.40</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5,491.15</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5,162.68</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328.47</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4,283.55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4,283.55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846.20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846.20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1,536.26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1,536.26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585.03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585.03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350.94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350.94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175.47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175.47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296.92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296.92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38.64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38.64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426.44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426.44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27.65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27.65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328.47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328.47</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37.76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37.76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印刷费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0.10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0.10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1.40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12.00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39.04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39.04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因公出国（境）费用</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15.00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维修（护）费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11.60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11.60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10.90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10.90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12.47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12.47</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6.85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6.85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委托业务费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2.50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43.86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43.86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113.99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113.99</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879.13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879.13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离休费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73.23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73.23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801.26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801.26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生活补助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4.64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4.64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85.83</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15.00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35.98</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24.98</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11.00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34.85</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20.90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27.47</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部门</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部门</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30201</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办公费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印刷费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邮电费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30211</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差旅费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35.00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因公出国（境）费用</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30213</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维修（护）费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30215</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会议费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30216</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培训费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公务接待费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30228</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工会经费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29.35</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30299</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79.60</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连云港市发展和改革委员会</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165.24</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165.24</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161.19</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161.19</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连云港市发展和改革委员会（机关）</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A4黑白打印机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纸及纸板</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市级应急救灾物资储备专项资金2026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其他床上装具</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125.00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连云港市投资项目咨询评审中心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政府投资项目可研报告、初步设计及节能评审经费2026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连云港市粮油质量监测所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保密柜</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2026年粮食质量调查和品质测报</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专用材料费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台式计算机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2026年粮食质量调查和品质测报</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专用材料费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A4黑白打印机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xml:space="preserve">      连云港市价格认定局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便携式计算机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连云港市公共信用信息中心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公共信用工作保障项目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0.06</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xml:space="preserve">      连云港市军粮供应站</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车辆采购</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轿车</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24.98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连云港市民防指挥信息保障中心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1.70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政府采购经费支出</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政府采购经费支出</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交换设备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政府采购经费支出</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其他办公设备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连云港市“一带一路”建设促进中心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办公设备及办公耗材购置2026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其他办公用品</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连云港市粮油质量监测所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xml:space="preserve">      连云港市军粮供应站</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连云港市民防指挥信息保障中心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商品和服务支出（非定额）</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车辆加油、添加燃料服务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部门</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连云港市发展和改革委员会2026年度收入、支出预算总计7,445.12万元，与上年相比收、支预算总计各减少58.98万元，减少0.79%。其中：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（一）收入预算总计7,445.12万元。包括：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1．本年收入合计7,445.12万元。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（1）一般公共预算拨款收入7,445.12万元，与上年相比减少58.98万元，减少0.79%。主要原因是优化财政支出结构，压减一般性项目投入；同时本年度单位人员变动，单位预算收入减少。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（二）支出预算总计7,445.12万元。包括：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1．本年支出合计7,445.12万元。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服务支出（类）支出4,892.43万元，主要用于单位项目支出及单位人员和日常运转相关支出。与上年相比增加54.85万元，增长1.13%。主要原因是二级事业单位本年度招录人员，同时本年度单位履职运转需要增加车辆项目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国防支出（类）支出289.09万元，主要用于国防方面日常项目支出：人防通信建设、指挥所、综合训练等业务。与上年相比减少9.46万元，减少3.17%。主要原因是根据省市精神相关项目减少，导致本年度与上年度相比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社会保障和就业支出（类）支出167.55万元，主要用于连云港市军粮供应站人员社会保障等相关支出。与上年相比增加37.77万元，增长29.1%。主要原因是连云港市军粮供应站本年度人员增加工资增加社会保障和就业支出同时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（4）住房保障支出（类）支出1,893.96万元，主要用于在职及退休人员的住房公积金和提租补贴支出。与上年相比减少158.74万元，减少7.73%。主要原因是本年度人员减少导致预算减少。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粮油物资储备支出（类）支出202.09万元，主要用于在职在编员工人员经费，日常公用经费以及粮食质量调查和品质测报项目经费。与上年相比增加16.6万元，增长8.95%。主要原因是本年市粮油质量监测所在编在职人员增加导致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连云港市发展和改革委员会2026年收入预算合计7,445.12万元，包括本年收入7,445.12万元，上年结转结余0万元。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本年一般公共预算收入7,445.12万元，占100%；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连云港市发展和改革委员会2026年支出预算合计7,445.12万元，其中：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基本支出5,491.15万元，占73.76%；</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项目支出1,953.97万元，占26.24%；</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度财政拨款收、支总预算7,445.12万元。与上年相比，财政拨款收、支总计各减少58.98万元，减少0.79%。主要原因是优化财政支出结构，压减一般性项目投入；同时本年度单位人员变动，单位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财政拨款预算支出7,445.12万元，占本年支出合计的100%。与上年相比，财政拨款支出减少58.98万元，减少0.79%。主要原因是优化财政支出结构，压减一般性项目投入；本年度单位人员变动，单位预算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（一）一般公共服务支出（类）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1.政府办公厅（室）及相关机构事务（款）事业运行（项）支出267.49万元，与上年相比增加19.47万元，增长7.85%。主要原因是连云港市军粮供应站单位履职运转需要增加车辆项目预算。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2.发展与改革事务（款）行政运行（项）支出2,518.15万元，与上年相比增加23.48万元，增长0.94%。主要原因是根据单位实际运行需求，单位本年基本支出行政运行科目额度增长。</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3.发展与改革事务（款）一般行政管理事务（项）支出1,418万元，与上年相比减少29万元，减少2%。主要原因是优化财政支出结构，压减一般性项目投入。</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4.发展与改革事务（款）物价管理（项）支出296.18万元，与上年相比增加2.06万元，增长0.7%。主要原因是市价格认定局、市价格监测中心人员晋档晋级工资正常变动，导致预算增长。</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5.发展与改革事务（款）事业运行（项）支出392.61万元，与上年相比增加38.84万元，增长10.98%。主要原因是单位人员晋档晋级工资正常变动，导致预算增长。</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（二）国防支出（类）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国防动员（款）人民防空（项）支出289.09万元，与上年相比减少9.46万元，减少3.17%。主要原因是市民防指挥保障中心部分项目已完成，本年预算同时减少。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（三）社会保障和就业支出（类）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退役军人管理事务（款）军供保障（项）支出167.55万元，与上年相比增加37.77万元，增长29.1%。主要原因是连云港市军粮供应站人员变动以及本年项目增加导致预算增加。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（四）住房保障支出（类）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1.住房改革支出（款）住房公积金（项）支出426.44万元，与上年相比减少221.66万元，减少34.2%。主要原因是单位在职人员退休住房公积金同时减少。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2.住房改革支出（款）提租补贴（项）支出1,467.52万元，与上年相比增加62.92万元，增长4.48%。主要原因是单位退休人员增加提租补贴同时增长。</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（五）粮油物资储备支出（类）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粮油物资事务（款）其他粮油物资事务支出（项）支出202.09万元，与上年相比增加16.6万元，增长8.95%。主要原因是市粮油质量监测所在编在职人员正常晋档晋级，人员经费增加以及项目变动导致预算增长。</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连云港市发展和改革委员会2026年度财政拨款基本支出预算5,491.15万元，其中：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5,162.68万元。主要包括：基本工资、津贴补贴、奖金、机关事业单位基本养老保险缴费、职业年金缴费、职工基本医疗保险缴费、其他社会保障缴费、住房公积金、其他工资福利支出、离休费、退休费、生活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328.47万元。主要包括：办公费、印刷费、水费、电费、邮电费、差旅费、因公出国（境）费用、维修（护）费、会议费、培训费、公务接待费、委托业务费、工会经费、公务用车运行维护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连云港市发展和改革委员会2026年一般公共预算财政拨款支出预算7,445.12万元，与上年相比减少58.98万元，减少0.79%。主要原因是优化财政支出结构，压减一般性项目投入。</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连云港市发展和改革委员会2026年度一般公共预算财政拨款基本支出预算5,491.15万元，其中：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5,162.68万元。主要包括：基本工资、津贴补贴、奖金、机关事业单位基本养老保险缴费、职业年金缴费、职工基本医疗保险缴费、其他社会保障缴费、住房公积金、其他工资福利支出、离休费、退休费、生活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328.47万元。主要包括：办公费、印刷费、水费、电费、邮电费、差旅费、因公出国（境）费用、维修（护）费、会议费、培训费、公务接待费、委托业务费、工会经费、公务用车运行维护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度一般公共预算拨款安排的“三公”经费支出预算85.83万元，比上年预算增加18.98万元，变动原因连云港市军粮供应站本年度单位履职运转需要增加车辆项目预算。其中，因公出国（境）费支出15万元，占“三公”经费的17.48%；公务用车购置及运行维护费支出35.98万元，占“三公”经费的41.92%；公务接待费支出34.85万元，占“三公”经费的40.6%。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1．因公出国（境）费预算支出15万元，比上年预算减少5万元，主要原因是严格落实中央八项规定精神，厉行节约，从严从紧控制经费支出。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2．公务用车购置及运行维护费预算支出35.98万元。其中：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（1）公务用车购置预算支出24.98万元，比上年预算增加24.98万元，主要原因是连云港市军粮供应站本年度单位履职运转需要增加车辆项目预算。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（2）公务用车运行维护费预算支出11万元，比上年预算减少1万元，主要原因是严格落实中央八项规定精神，厉行节约，从严从紧控制经费支出。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3．公务接待费预算支出34.85万元，与上年预算数相同。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连云港市发展和改革委员会2026年度一般公共预算拨款安排的会议费预算支出20.9万元，与上年预算数相同。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连云港市发展和改革委员会2026年度一般公共预算拨款安排的培训费预算支出27.47万元，比上年预算增加1.63万元，主要原因是为适应新形势下业务能力提升需要，本年度业务培训安排增加，费用同时增加。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2026年本部门一般公共预算机关运行经费预算支出223.75万元，与上年相比减少41.87万元，减少15.76%。主要原因是严格落实中央八项规定精神，厉行节约，从严从紧控制经费支出。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2026年度政府采购支出预算总额165.24万元，其中：拟采购货物支出161.19万元、拟采购工程支出0万元、拟采购服务支出4.05万元。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部门共有车辆3辆，其中，副部（省）级及以上领导用车0辆、主要负责人用车0辆、机要通信用车0辆、应急保障用车0辆、执法执勤用车0辆、特种专业技术用车0辆、离退休干部用车0辆，其他用车3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部门整体支出纳入绩效目标管理，涉及财政性资金7,445.12万元；本部门共27个项目纳入绩效目标管理，涉及财政性资金合计1,953.97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八、一般公共服务支出(类)政府办公厅（室）及相关机构事务(款)事业运行(项)</w:t>
      </w:r>
      <w:r>
        <w:rPr>
          <w:b w:val="on"/>
          <w:rFonts w:ascii="仿宋" w:eastAsia="仿宋" w:hAnsi="仿宋" w:cs="仿宋"/>
          <w:u w:color="auto"/>
        </w:rPr>
        <w:t>：</w:t>
      </w:r>
      <w:r>
        <w:rPr>
          <w:rFonts w:hint="eastAsia" w:ascii="仿宋" w:hAnsi="仿宋" w:eastAsia="仿宋" w:cs="仿宋"/>
        </w:rPr>
        <w:t>反映事业单位的基本支出，不包括行政单位（包括实行公务员管理的事业单位）后勤服务中心、医务室等附属事业单位。</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九、一般公共服务支出(类)发展与改革事务(款)行政运行(项)</w:t>
      </w:r>
      <w:r>
        <w:rPr>
          <w:b w:val="on"/>
          <w:rFonts w:ascii="仿宋" w:eastAsia="仿宋" w:hAnsi="仿宋" w:cs="仿宋"/>
          <w:u w:color="auto"/>
        </w:rPr>
        <w:t>：</w:t>
      </w:r>
      <w:r>
        <w:rPr>
          <w:rFonts w:hint="eastAsia" w:ascii="仿宋" w:hAnsi="仿宋" w:eastAsia="仿宋" w:cs="仿宋"/>
        </w:rPr>
        <w:t>反映行政单位（包括实行公务员管理的事业单位）的基本支出。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十、一般公共服务支出(类)发展与改革事务(款)一般行政管理事务(项)</w:t>
      </w:r>
      <w:r>
        <w:rPr>
          <w:b w:val="on"/>
          <w:rFonts w:ascii="仿宋" w:eastAsia="仿宋" w:hAnsi="仿宋" w:cs="仿宋"/>
          <w:u w:color="auto"/>
        </w:rPr>
        <w:t>：</w:t>
      </w:r>
      <w:r>
        <w:rPr>
          <w:rFonts w:hint="eastAsia" w:ascii="仿宋" w:hAnsi="仿宋" w:eastAsia="仿宋" w:cs="仿宋"/>
        </w:rPr>
        <w:t>反映行政单位（包括实行公务员管理的事业单位）未单独设置项级科目的其他项目支出。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十一、一般公共服务支出(类)发展与改革事务(款)物价管理(项)</w:t>
      </w:r>
      <w:r>
        <w:rPr>
          <w:b w:val="on"/>
          <w:rFonts w:ascii="仿宋" w:eastAsia="仿宋" w:hAnsi="仿宋" w:cs="仿宋"/>
          <w:u w:color="auto"/>
        </w:rPr>
        <w:t>：</w:t>
      </w:r>
      <w:r>
        <w:rPr>
          <w:rFonts w:hint="eastAsia" w:ascii="仿宋" w:hAnsi="仿宋" w:eastAsia="仿宋" w:cs="仿宋"/>
        </w:rPr>
        <w:t>反映物价管理方面的支出。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十二、一般公共服务支出(类)发展与改革事务(款)事业运行(项)</w:t>
      </w:r>
      <w:r>
        <w:rPr>
          <w:b w:val="on"/>
          <w:rFonts w:ascii="仿宋" w:eastAsia="仿宋" w:hAnsi="仿宋" w:cs="仿宋"/>
          <w:u w:color="auto"/>
        </w:rPr>
        <w:t>：</w:t>
      </w:r>
      <w:r>
        <w:rPr>
          <w:rFonts w:hint="eastAsia" w:ascii="仿宋" w:hAnsi="仿宋" w:eastAsia="仿宋" w:cs="仿宋"/>
        </w:rPr>
        <w:t>反映事业单位的基本支出，不包括行政单位（包括实行公务员管理的事业单位）后勤服务中心、医务室等附属事业单位。</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十三、国防支出(类)国防动员(款)人民防空(项)</w:t>
      </w:r>
      <w:r>
        <w:rPr>
          <w:b w:val="on"/>
          <w:rFonts w:ascii="仿宋" w:eastAsia="仿宋" w:hAnsi="仿宋" w:cs="仿宋"/>
          <w:u w:color="auto"/>
        </w:rPr>
        <w:t>：</w:t>
      </w:r>
      <w:r>
        <w:rPr>
          <w:rFonts w:hint="eastAsia" w:ascii="仿宋" w:hAnsi="仿宋" w:eastAsia="仿宋" w:cs="仿宋"/>
        </w:rPr>
        <w:t>反映用于人民防空工程建设、宣传等方面的支出。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十四、社会保障和就业支出(类)退役军人管理事务(款)军供保障(项)</w:t>
      </w:r>
      <w:r>
        <w:rPr>
          <w:b w:val="on"/>
          <w:rFonts w:ascii="仿宋" w:eastAsia="仿宋" w:hAnsi="仿宋" w:cs="仿宋"/>
          <w:u w:color="auto"/>
        </w:rPr>
        <w:t>：</w:t>
      </w:r>
      <w:r>
        <w:rPr>
          <w:rFonts w:hint="eastAsia" w:ascii="仿宋" w:hAnsi="仿宋" w:eastAsia="仿宋" w:cs="仿宋"/>
        </w:rPr>
        <w:t>反映各级退役军人事务部门所属军供站运行及管理维护、保障军队运输和食宿供应等方面的支出。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十五、住房保障支出(类)住房改革支出(款)住房公积金(项)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十六、住房保障支出(类)住房改革支出(款)提租补贴(项)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十七、粮油物资储备支出(类)粮油物资事务(款)其他粮油物资事务支出(项)</w:t>
      </w:r>
      <w:r>
        <w:rPr>
          <w:b w:val="on"/>
          <w:rFonts w:ascii="仿宋" w:eastAsia="仿宋" w:hAnsi="仿宋" w:cs="仿宋"/>
          <w:u w:color="auto"/>
        </w:rPr>
        <w:t>：</w:t>
      </w:r>
      <w:r>
        <w:rPr>
          <w:rFonts w:hint="eastAsia" w:ascii="仿宋" w:hAnsi="仿宋" w:eastAsia="仿宋" w:cs="仿宋"/>
        </w:rPr>
        <w:t>反映除上述项目以外其他用于粮油和物资事务方面的支出。</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连云港市发展和改革委员会</w:t>
    </w:r>
    <w:r>
      <w:rPr>
        <w:u w:color="auto"/>
      </w:rPr>
      <w:t>2026</w:t>
    </w:r>
    <w:r>
      <w:rPr>
        <w:u w:color="auto"/>
      </w:rPr>
      <w:t>年度</w:t>
    </w:r>
    <w:r>
      <w:rPr>
        <w:u w:color="auto"/>
      </w:rPr>
      <w:t>部门</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