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2"/>
      </w:tblGrid>
      <w:tr w14:paraId="5E8F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10402" w:type="dxa"/>
            <w:tcBorders>
              <w:top w:val="nil"/>
              <w:left w:val="nil"/>
              <w:bottom w:val="nil"/>
              <w:right w:val="nil"/>
            </w:tcBorders>
          </w:tcPr>
          <w:p w14:paraId="6582E28E">
            <w:pPr>
              <w:pStyle w:val="8"/>
              <w:spacing w:line="550" w:lineRule="exact"/>
              <w:rPr>
                <w:rFonts w:hint="eastAsia" w:ascii="仿宋" w:hAnsi="仿宋" w:eastAsia="仿宋" w:cs="仿宋"/>
                <w:b/>
                <w:bCs/>
                <w:color w:val="FF0000"/>
                <w:sz w:val="22"/>
                <w:szCs w:val="22"/>
                <w:vertAlign w:val="baseline"/>
              </w:rPr>
            </w:pPr>
            <w:r>
              <w:rPr>
                <w:rFonts w:hint="eastAsia" w:ascii="仿宋" w:hAnsi="仿宋" w:eastAsia="仿宋" w:cs="仿宋"/>
                <w:b/>
                <w:bCs/>
                <w:color w:val="FF0000"/>
                <w:sz w:val="22"/>
                <w:szCs w:val="22"/>
              </w:rPr>
              <w:t/>
            </w:r>
          </w:p>
        </w:tc>
      </w:tr>
      <w:tr w14:paraId="5332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trPr>
        <w:tc>
          <w:tcPr>
            <w:tcW w:w="10402" w:type="dxa"/>
            <w:tcBorders>
              <w:top w:val="nil"/>
              <w:left w:val="nil"/>
              <w:bottom w:val="nil"/>
              <w:right w:val="nil"/>
            </w:tcBorders>
            <w:vAlign w:val="center"/>
          </w:tcPr>
          <w:p w14:paraId="1DE75410">
            <w:pPr>
              <w:ind w:right="284" w:rightChars="129"/>
              <w:jc w:val="center"/>
              <w:rPr>
                <w:rFonts w:hint="eastAsia" w:ascii="仿宋" w:hAnsi="仿宋" w:eastAsia="仿宋" w:cs="仿宋"/>
                <w:b/>
                <w:bCs/>
                <w:color w:val="FF0000"/>
                <w:sz w:val="22"/>
                <w:szCs w:val="22"/>
                <w:vertAlign w:val="baseline"/>
              </w:rPr>
            </w:pPr>
            <w:r>
              <w:rPr>
                <w:rFonts w:hint="eastAsia" w:ascii="宋体" w:hAnsi="宋体" w:eastAsia="宋体" w:cs="宋体"/>
                <w:b/>
                <w:bCs/>
                <w:sz w:val="52"/>
                <w:szCs w:val="52"/>
                <w:lang w:val="en-US" w:eastAsia="zh-CN"/>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xml:space="preserve">2026年度</w:t>
              <w:br w:type="textWrapping"/>
              <w:t/>
            </w:r>
            <w:r>
              <w:rPr>
                <w:b w:val="on"/>
                <w:rFonts w:ascii="宋体" w:eastAsia="宋体" w:hAnsi="宋体" w:cs="宋体"/>
                <w:sz w:val="52"/>
                <w:u w:color="auto"/>
              </w:rPr>
              <w:t>连云港市发展和改革委员会（机关）</w:t>
            </w:r>
            <w:r>
              <w:rPr>
                <w:b w:val="on"/>
                <w:rFonts w:ascii="宋体" w:eastAsia="宋体" w:hAnsi="宋体" w:cs="宋体"/>
                <w:sz w:val="52"/>
                <w:u w:color="auto"/>
              </w:rPr>
              <w:t xml:space="preserve"></w:t>
              <w:br w:type="textWrapping"/>
              <w:t>单位预算公开</w:t>
            </w:r>
            <w:r>
              <w:rPr>
                <w:b w:val="on"/>
                <w:rFonts w:ascii="宋体" w:eastAsia="宋体" w:hAnsi="宋体" w:cs="宋体"/>
                <w:sz w:val="52"/>
                <w:u w:color="auto"/>
              </w:rPr>
              <w:t/>
            </w:r>
            <w:r>
              <w:rPr>
                <w:b w:val="on"/>
                <w:rFonts w:ascii="宋体" w:eastAsia="宋体" w:hAnsi="宋体" w:cs="宋体"/>
                <w:sz w:val="52"/>
                <w:u w:color="auto"/>
              </w:rPr>
              <w:t/>
            </w:r>
          </w:p>
        </w:tc>
      </w:tr>
    </w:tbl>
    <w:p w14:paraId="14897ACB">
      <w:pPr>
        <w:ind w:right="284" w:rightChars="129"/>
        <w:jc w:val="both"/>
        <w:rPr>
          <w:rFonts w:hint="eastAsia" w:ascii="宋体" w:hAnsi="宋体" w:eastAsia="宋体" w:cs="宋体"/>
          <w:b/>
          <w:bCs/>
          <w:sz w:val="52"/>
          <w:szCs w:val="52"/>
        </w:rPr>
        <w:sectPr>
          <w:headerReference r:id="rId5" w:type="first"/>
          <w:headerReference r:id="rId4"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14:paraId="6AEB147C">
      <w:pPr>
        <w:pStyle w:val="8"/>
        <w:spacing w:before="4" w:after="0"/>
        <w:rPr>
          <w:rFonts w:ascii="华文仿宋" w:hAnsi="华文仿宋" w:eastAsia="华文仿宋" w:cs="仿宋"/>
          <w:sz w:val="10"/>
        </w:rPr>
      </w:pPr>
    </w:p>
    <w:p w14:paraId="739D6A77">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14:paraId="5499024E">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14:paraId="63325B0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单位</w:t>
      </w:r>
      <w:r>
        <w:rPr>
          <w:rFonts w:hint="eastAsia" w:ascii="仿宋" w:hAnsi="仿宋" w:eastAsia="仿宋" w:cs="仿宋"/>
          <w:b/>
          <w:bCs/>
        </w:rPr>
        <w:t>概况</w:t>
      </w:r>
    </w:p>
    <w:p w14:paraId="502DA453">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14:paraId="658D6902">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机构设置及预算单位构成情况</w:t>
      </w:r>
    </w:p>
    <w:p w14:paraId="552D6E10">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单位</w:t>
      </w:r>
      <w:r>
        <w:rPr>
          <w:rFonts w:hint="eastAsia" w:ascii="仿宋" w:hAnsi="仿宋" w:eastAsia="仿宋" w:cs="仿宋"/>
        </w:rPr>
        <w:t>主要工作任务及目标</w:t>
      </w:r>
    </w:p>
    <w:p w14:paraId="2B33D14A">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u/>
        </w:rPr>
        <w:t>年度</w:t>
      </w:r>
      <w:r>
        <w:rPr>
          <w:b w:val="on"/>
          <w:rFonts w:ascii="仿宋" w:eastAsia="仿宋" w:hAnsi="仿宋" w:cs="仿宋"/>
          <w:u w:color="auto"/>
        </w:rPr>
        <w:t>单位</w:t>
      </w:r>
      <w:r>
        <w:rPr>
          <w:b w:val="on"/>
          <w:rFonts w:ascii="仿宋" w:eastAsia="仿宋" w:hAnsi="仿宋" w:cs="仿宋"/>
          <w:u w:color="auto"/>
        </w:rPr>
        <w:t>预算表</w:t>
      </w:r>
    </w:p>
    <w:p w14:paraId="697B2D1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14:paraId="21CD196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14:paraId="2D83067C">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14:paraId="436688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14:paraId="5F8EC72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14:paraId="60D300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14:paraId="6CA016C6">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14:paraId="54387C9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14:paraId="79124BC0">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14:paraId="31E56A9B">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14:paraId="58E1B9C8">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14:paraId="5D5451FF">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14:paraId="0C8D450D">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14:paraId="2B2329B3">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u/>
        </w:rPr>
        <w:t>年度</w:t>
      </w:r>
      <w:r>
        <w:rPr>
          <w:b w:val="on"/>
          <w:color w:val="000000"/>
          <w:rFonts w:ascii="仿宋" w:eastAsia="仿宋" w:hAnsi="仿宋" w:cs="仿宋"/>
          <w:sz w:val="30"/>
          <w:u w:color="auto"/>
        </w:rPr>
        <w:t>单位</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14:paraId="17567B92">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14:paraId="3626083D">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14:paraId="62BECF84">
      <w:pPr>
        <w:pStyle w:val="8"/>
        <w:spacing w:before="1" w:after="0"/>
        <w:rPr>
          <w:rFonts w:ascii="华文仿宋" w:hAnsi="华文仿宋" w:eastAsia="华文仿宋" w:cs="仿宋"/>
          <w:sz w:val="14"/>
        </w:rPr>
      </w:pPr>
    </w:p>
    <w:p w14:paraId="6E02EF27">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单位</w:t>
      </w:r>
      <w:r>
        <w:rPr>
          <w:rFonts w:hint="eastAsia" w:ascii="仿宋" w:hAnsi="仿宋" w:eastAsia="仿宋" w:cs="仿宋"/>
          <w:b/>
          <w:bCs/>
        </w:rPr>
        <w:t>概况</w:t>
      </w:r>
    </w:p>
    <w:p w14:paraId="596E3451">
      <w:pPr>
        <w:ind w:right="504" w:rightChars="229"/>
        <w:jc w:val="both"/>
        <w:rPr>
          <w:rFonts w:hint="eastAsia"/>
        </w:rPr>
      </w:pPr>
    </w:p>
    <w:p w14:paraId="4E0400A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一）拟订并组织实施全市国民经济和社会发展战略、中长期规划和年度计划。牵头组织全市统一规划体系建设，负责市级专项规划、区域规划、空间规划与全市发展规划的统筹衔接。组织起草职责范围内有关地方性法规、规章草案。</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（二）提出加快建设全市现代化经济体系、推动高质量发展的总体目标、重大任务以及相关政策。组织开展重大战略规划、重大政策、重大工程等评估督导，提出相关调整建议。</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三）统筹提出全市国民经济和社会发展主要目标，监测预测预警宏观经济和社会发展态势趋势。综合协调宏观经济政策，牵头研究宏观经济应对措施。调节经济运行，协调解决经济运行中的重大问题。拟订并组织实施有关价格政策，组织制定市级管理的重要商品、服务价格和重要收费标准。参与拟订市级财政政策和土地政策。</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四）指导推进和综合协调全市经济体制改革有关工作。统筹推进供给侧结构性改革。协调推进产权制度和要素市场化配置改革。推动完善相关经济制度和现代市场体系建设。会同相关部门组织实施市场准入负面清单制度。牵头推进全市优化营商环境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（五）研究协调有关利用外资、境外投资和国际产能合作的政策，参与研究对外开放的有关问题，承担统筹协调“走出去”有关工作。牵头推进实施全市“一带一路”建设工作。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六）负责投资综合管理，拟订全市全社会固定资产投资总规模、结构调控目标和政策，会同相关部门拟订政府投资项目审批权限和政府核准的固定资产投资项目目录。按权限审批、核准、审核、备案重大项目。安排市级有关财政性专项建设资金。协调推进全市重大项目建设。拟订并推动落实全市鼓励民间投资政策措施。</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七）推进落实区域协调发展战略、新型城镇化战略和重大政策，组织拟订相关区域规划和政策。推动落实“一带一路”建设、长江经济带发展、长三角区域一体化发展和沿海地区发展、淮河生态经济带等国家重大战略。统筹推进沿海经济带、淮海经济区、国家东中西区域合作示范区等重点功能区建设。组织编制并推动实施全市新型城镇化规划。牵头协调推进市际对口帮扶、对口支援和对口合作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八）组织拟订全市综合性产业政策。协调全市一二三产业发展重大问题并统筹衔接相关发展规划和重大政策。统筹规划全市重大产业项目和生产力布局。协调推进重大基础设施建设发展，组织拟订并推动实施全市服务业战略规划和重大政策，推进先进制造业与现代服务业融合发展。综合研判全市消费变动趋势，拟订实施促进消费的综合性政策措施。</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九）推动实施创新驱动发展战略。会同相关部门拟订推进全市创新创业的规划和政策，提出创新发展和培育经济发展新动能的政策。会同相关部门规划布局全市重大科技基础设施。组织拟订并推动实施全市高技术产业和战略性新兴产业发展规划政策，协调产业升级、重大技术装备推广应用等方面的重大问题。</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跟踪研判经济安全等风险隐患，提出相关工作建议。负责全市重要商品总量平衡和宏观调控，协调落实重要工业品、原材料和重要农产品进出口调控措施。会同有关部门拟订市级储备物资品种目录、总体发展规划。</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一）负责全市社会发展与国民经济发展的政策衔接，协调有关重大问题。组织拟订全市社会发展战略、总体规划，统筹推进基本公共服务体系建设和收入分配制度改革，提出促进就业、完善社会保障与经济协调发展的政策建议。牵头开展全市社会信用体系建设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二）推进实施可持续发展战略，协调生态环境保护与修复、能源资源节约和综合利用等工作。会同有关部门提出健全全市生态保护补偿机制的政策措施，综合协调环保产业和清洁生产促进有关工作。提出全市能源消费总量控制目标、任务并组织实施。</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三）拟订能源发展规划、计划、政策并组织实施，推进能源体制改革，拟订有关改革方案，协调能源发展和改革中的重大问题。研究能源战略布局和结构调整，推进能源生产和消费革命，构建清洁低碳、安全高效的能源体系。承担能源行业管理职能，负责能源中长期需求预测预警，发布相关信息，按职责开展能源运行调节、应急保障等工作。拟订能源行业地方性标准并组织实施，监测能源发展状况，衔接能源生产建设和供需平衡。</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四）推进能源行业节能和资源综合利用，组织能源重大设备研发，指导能源科技进步、成套设备的引进消化创新，组织协调相关重大示范工程和推广应用新产品、新技术、新设备。负责编制政府性扶持新能源和可再生能源、能源行业节能等专项资金计划，并监督实施。参与制定与能源相关的资源、财税、环保及应对气候变化等政策，提出能源价格调整和总量平衡的建议。</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（十五）负责全市经济社会发展目标任务的考核和推进工作，组织开展全市高质量发展考核。</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（十六）会同有关部门拟订推进全市经济建设与国防建设协调发展的战略和规划。推动实施军民融合发展战略，组织编制全市国民经济（装备）动员规划，协调和组织实施全市国民经济（装备）动员有关工作。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七）承担市委军民融合发展委员会日常工作，综合协调全市军民融合发展工作，对全市各地军民融合发展工作进行督促指导。汇总全市军民融合发展总体需求，编制并组织实施军民融合发展规划，研究拟订市军民融合发展重要政策和相关体制机制改革方案。指导全市军民融合发展重要政策理论和实践问题研究，协调推动全市军民融合发展相关法规、政策制度及标准规范建设。组织实施全市军民融合发展重大项目（专项工程）和重要事项，组织开展军民融合创新平台和智库建设。协调地方经济与国防建设有关问题，研究经济建设重大项目服务保障国防的有关事项。</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八）起草全市粮食流通和物资储备管理的地方性法规、规章草案。研究提出粮食流通和物资储备体制改革方案并组织实施。组织实施全市战略和应急储备物资的收储、轮换和日常管理，落实有关动用计划和指令。管理全市粮食、棉花和食糖储备，负责市级储备粮棉行政管理。监测粮食和战略物资供求变化并预测预警，承担全市粮食流通宏观调控的具体工作，承担粮食安全责任制考核日常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十九）根据国家储备总体发展规划和省、市储备发展规划，统一负责储备基础设施建设和管理。拟订全市储备基础设施、粮食流通设施建设规划并组织实施，管理有关储备基础设施和粮食流通设施市级投资项目。组织实施粮食和物资储备仓储管理有关技术标准和规范。负责粮食流通、加工行业安全生产工作的监督管理，承担物资储备承储单位安全生产的监管责任。</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十）负责粮食流通行业管理，制定行业发展规划、政策，监督执行粮食流通和物资储备有关标准和技术规范。负责粮食和物资储备的对外合作与交流。负责对管理的政府储备、企业储备以及储备政策落实情况进行监督检查。负责粮食流通监督检查，负责粮食收购、储存、运输环节粮食质量安全和原粮卫生的监督管理，组织实施全市粮食库存检查工作。</w:t>
      </w:r>
      <w:r>
        <w:rPr>
          <w:rFonts w:ascii="仿宋" w:eastAsia="仿宋" w:hAnsi="仿宋" w:cs="仿宋"/>
          <w:u w:color="auto"/>
        </w:rPr>
        <w:t/>
      </w:r>
    </w:p>
    <w:p w14:paraId="7751453F">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（二十一）完成市委、市政府和市委军民融合发展委员会交办的其他任务。</w:t>
      </w:r>
      <w:r>
        <w:rPr>
          <w:rFonts w:ascii="仿宋" w:eastAsia="仿宋" w:hAnsi="仿宋" w:cs="仿宋"/>
          <w:u w:color="auto"/>
        </w:rPr>
        <w:t/>
      </w:r>
    </w:p>
    <w:p w14:paraId="6B17DDCD">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u/>
        </w:rPr>
        <w:t>二、</w:t>
      </w:r>
      <w:r>
        <w:rPr>
          <w:b w:val="on"/>
          <w:rFonts w:ascii="仿宋" w:eastAsia="仿宋" w:hAnsi="仿宋" w:cs="仿宋"/>
          <w:u w:color="auto"/>
        </w:rPr>
        <w:t>单位</w:t>
      </w:r>
      <w:r>
        <w:rPr>
          <w:rFonts w:hint="eastAsia" w:ascii="仿宋" w:hAnsi="仿宋" w:eastAsia="仿宋" w:cs="仿宋"/>
          <w:b/>
          <w:bCs/>
        </w:rPr>
        <w:t>机构设置及预算单位构成情况</w:t>
      </w:r>
    </w:p>
    <w:p w14:paraId="77273F30">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
      </w:r>
      <w:r>
        <w:rPr>
          <w:rFonts w:ascii="仿宋" w:eastAsia="仿宋" w:hAnsi="仿宋" w:cs="仿宋"/>
          <w:u w:color="auto"/>
        </w:rPr>
        <w:t/>
      </w: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hint="eastAsia" w:ascii="仿宋" w:hAnsi="仿宋" w:eastAsia="仿宋" w:cs="仿宋"/>
          <w:lang w:val="en-US"/>
        </w:rPr>
        <w:t/>
      </w:r>
      <w:r>
        <w:rPr>
          <w:rFonts w:ascii="仿宋" w:eastAsia="仿宋" w:hAnsi="仿宋" w:cs="仿宋"/>
          <w:u w:color="auto"/>
        </w:rPr>
        <w:t/>
      </w:r>
      <w:r>
        <w:rPr>
          <w:rFonts w:ascii="仿宋" w:eastAsia="仿宋" w:hAnsi="仿宋" w:cs="仿宋"/>
          <w:u w:color="auto"/>
        </w:rPr>
        <w:t>本单位内设机构包括：</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办公室、发展战略和规划处（市规划落实推进工作办公室）、区域经济与支援合作处（长三角区域一体化发展处）、沿海发展处、国民经济综合处（财政金融处、经济运行调节局）、固定资产投资处（基础设施发展处，长江经济带发展处）、“一带一路”发展处（利用外资和境外投资处）、农村经济处、创新和高技术发展处（工业处）、服务业处（经济贸易处）、电力煤炭处、新能源和石油天然气处、资源节约和环境保护处、社会发展处、市目标管理办公室、经济体制改革处、行政服务处（法规处）、信用建设处、收费管理和价格调控处、价格管理和成本监审处、经济与国防协调发展处、军民融合推进处、粮食和物资储备处、粮食和物资监管处、安全仓储与科技处、评估督查处、人防指挥和通信处、人防平战结合处、综合协调处、财务审计处、人事教育处、机关党委、离退休干部处。</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本单位无下属单位。</w:t>
      </w:r>
      <w:r>
        <w:rPr>
          <w:rFonts w:ascii="仿宋" w:eastAsia="仿宋" w:hAnsi="仿宋" w:cs="仿宋"/>
          <w:u w:color="auto"/>
        </w:rPr>
        <w:t/>
      </w:r>
      <w:r>
        <w:rPr>
          <w:rFonts w:ascii="仿宋" w:eastAsia="仿宋" w:hAnsi="仿宋" w:cs="仿宋"/>
          <w:u w:color="auto"/>
        </w:rPr>
        <w:t/>
      </w:r>
    </w:p>
    <w:p w14:paraId="17E355E1">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u/>
        </w:rPr>
        <w:t>年度</w:t>
      </w:r>
      <w:r>
        <w:rPr>
          <w:b w:val="on"/>
          <w:rFonts w:ascii="仿宋" w:eastAsia="仿宋" w:hAnsi="仿宋" w:cs="仿宋"/>
          <w:u w:color="auto"/>
        </w:rPr>
        <w:t>单位</w:t>
      </w:r>
      <w:r>
        <w:rPr>
          <w:b w:val="on"/>
          <w:rFonts w:ascii="仿宋" w:eastAsia="仿宋" w:hAnsi="仿宋" w:cs="仿宋"/>
          <w:u w:color="auto"/>
        </w:rPr>
        <w:t>主要工作任务及目标</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一）加强统筹谋划，持续提升发展硬实力。一是做好“十五五”规划实施。全面落实市委规划《建议》，编制完成“十五五”规划《纲要》，聚焦产业高端化、高水平对外开放等重点领域，序时推动65个市级专项规划编制工作，确保在上半年全部印发实施。推动我市“四个重大”事项落地见效。二是加强经济工作组织。搭建先行性指标、实物量指标、综合性指标等多维立体指标监测体系，开展信号预警、过程落地、结果核算等全流程监测，推动经济运行持续回升向好。依托强优企业、重点项目挂钩走访机制，摸清摸准行业、企业运行态势，及时采取稳增长、稳预期举措，实现“以分析促政策、以政策提指标”良性循环。三是用好国家政策红利。扎实承接、配套好国家、省政策，推动各项政策直达快享。积极争取国家支持，力争重大石化项目取得突破性进展。围绕进一步提升新亚欧陆海联运通道能级、产业发展、项目建设、对外开放等重点问题，加强调查研究，开展前瞻性预研，谋划一批管用有效的办法举措。</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扩大有效投资，持续夯实发展硬支撑。一是加快重大项目建设。优化重大项目全生命周期服务，落实市长挂钩联系项目机制，发挥重大项目服务专班职能，着力破除重大项目用地、环评、用能等要素制约。加快推进623个市重点项目建设，力促盛虹化工新材料、200万千瓦滩涂光伏等一批重大项目早投产快达效，确保完成产业投资1300亿元。二是推动企业增资扩产。参与组建省增资扩产基金，将增资扩产和设备更新、技术改造相结合，鼓励存量企业利用现有的产能、产线增资扩产。鼓励民间资本参与重大项目建设，推动形成政府投资与民间投资良性互动的格局。三是积极争取资金支持。提升“两重”项目资金配套和使用进度。谋划一批基础设施领域REITs、ABS等示范性项目，积极争取中央预算内投资、超长期特别国债、专项债券、政策性金融工具等资金支持。</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三）夯实产业根基，持续积蓄发展强动能。一是加速构建现代化产业体系。按照“巩固提升优势产业、做大做强特色产业、培育发展未来产业”思路，全力打造“755”先进制造业体系。全面开展“人工智能+”行动，扩大“悟空智算”等算力规模，积极打造智能应用场景。建强“N个1”推进机制，支持县域因地制宜培育特色优势产业。二是加快推动服务业高质量发展。聚焦港航物流、现代商贸等特色产业，实施服务业扩能提质行动，推进生产性服务业向专业化、高端化迈进，促进生活性服务业向高品质、多样化升级，确保规上服务业营收增长11%以上。三是持续做好为企服务。依托市领导挂钩重点产业链机制，推动重点产业发展。实施场景创新行动，推动新技术、新产品验证应用。优化强优企业库，谋划一批针对性举措，助力企业做大做强。</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四）融入重大战略，持续拓展发展新空间。一是着力提升开放水平。争取国家出台支持新亚欧陆海联运通道高质量发展政策文件，开展双向开放综合改革试点。推动中哈（连云港）物流合作基地与沿线无水港互联互通，提升阿克套港集装箱枢纽运营水平。高标准共建连徐中欧班列集结中心，力争班列开行突破920列。二是纵深推进区域协同。加强基础设施互联互通，畅通沿海至长三角其他区域交通通道。深化与上海港合作，与长三角发达地区产业科技合作。持续深化南北结对帮扶合作，促进产业链供应链深度对接，以特色园区打造为突破口，推动共建园区高质发展。深入实施《苏皖鲁豫省际交界地区协同推进高质量发展行动方案》，推动区域联动融合发展迈向新台阶。三是高效集聚海洋动能。聚焦产业强海、科技兴海、生态护海、开放活海，出台“十五五”沿海发展规划、海洋经济发展规划、现代海洋城市建设方案。常态化实施“两会三清单季调度”机制，大力推动海洋经济重点事项、重点载体平台、重点项目落地落实。深入推进国家海洋经济发展示范区、国家沿海渔港经济区建设，着力打造彰显山海特色的现代海洋城市。</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五）全面深化改革，持续增强发展新动力。一是创新打造更优营商环境。全面做好涉企业服务，推动“高效办成一件事”“综合查一次”等改革走深走实，一体推进“一网通办”“好差评”制度，提升诉求问题办理质效。加大创新项目推进力度，积极争取省级以上改革事项试点。推广专项信用报告，争创全国社会信用体系建设示范区。推动物流业降本提质增效，总结提炼一批典型案例，持续擦亮“连心城·贴心港”营商环境品牌。二是加快推动民营经济发展。深入实施民营经济促进法、民营经济23条，定期组织召开企业家座谈会，健全民营企业常态化沟通交流、闭环办理问题等工作机制，助力民营经济发展壮大。深化市场准入负面清单管理，加大对民营企业要素获取、权益保护、降本增效等支持力度，积极融入全国统一大市场。三是纵深推进绿色低碳转型。锚定“双碳”目标任务，探索零碳园区建设路径，持续加大绿电绿证使用推广力度，推动核能综合利用与石化基地联动发展。建设新型能源体系，坚持风光水核等多能并举，规模化开发“风光”资源，科学推进分布式光伏开发，加快推进中核田湾200万千瓦滩涂光伏、风光同场海上光伏、抽水蓄能等项目建设。</w:t>
      </w:r>
      <w:r>
        <w:rPr>
          <w:rFonts w:ascii="仿宋" w:eastAsia="仿宋" w:hAnsi="仿宋" w:cs="仿宋"/>
          <w:u w:color="auto"/>
        </w:rPr>
        <w:t/>
      </w:r>
    </w:p>
    <w:p w14:paraId="62EF1CDE">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六）聚焦共富惠民，绘就民生幸福新图纸。一是守好民生底线。聚焦交通、医疗、教育等民生关切，用心用情办好50件民生实事。系统应对人口老龄化发展趋势，着力破解“一老一小”等群众急难愁盼问题。扛牢粮食安全责任，严密组织粮食收购和质量安全风险监测，持续开展与无锡粮食产销合作，扎实做好军粮供应保障工作。二是促进共同富裕。深入谋划共同富裕具体路径，拓宽富民增收渠道，推动居民人均可支配收入稳步增长、城乡居民收入比持续缩小。健全养老、殡葬、物业、停车等民生服务价格监督管理机制，稳妥有序推进公用事业价格改革。做好重要民生商品保供稳价工作，确保居民消费价格涨幅在省控线内。三是守牢安全底线。加快人防机动指挥通信系统建设，驰而不息完善现代化国防动员体系。提升油气长输管道保护和电力行业安全管理水平，规范粮食出入库、熏蒸作业、外包服务等重点环节管理，统筹协调集中式光伏、海上风电、电化学新型储能等新兴领域安全生产相关工作，推动安全生产形势持续稳定。</w:t>
      </w:r>
      <w:r>
        <w:rPr>
          <w:rFonts w:ascii="仿宋" w:eastAsia="仿宋" w:hAnsi="仿宋" w:cs="仿宋"/>
          <w:u w:color="auto"/>
        </w:rPr>
        <w:t/>
      </w:r>
    </w:p>
    <w:p w14:paraId="60B181B9">
      <w:pPr>
        <w:pStyle w:val="8"/>
        <w:spacing w:line="235" w:lineRule="auto"/>
        <w:ind w:left="669" w:leftChars="300" w:right="2414" w:hanging="9" w:firstLineChars="0"/>
        <w:jc w:val="both"/>
        <w:rPr>
          <w:rFonts w:hint="eastAsia" w:ascii="仿宋" w:hAnsi="仿宋" w:eastAsia="仿宋" w:cs="仿宋"/>
        </w:rPr>
        <w:sectPr>
          <w:footerReference r:id="rId7"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22ACF442">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14:paraId="272DDB3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2D8EBC2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6F080D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79DBE682">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4341A017">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1DCEEF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14:paraId="67D7F2C8">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14:paraId="2C05E6B0">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14:paraId="199236A4">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连云港市发展和改革委员会（机关）</w:t>
      </w:r>
    </w:p>
    <w:p w14:paraId="341EDBD7">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u/>
        </w:rPr>
        <w:t>单位</w:t>
      </w:r>
      <w:r>
        <w:rPr>
          <w:b w:val="on"/>
          <w:rFonts w:ascii="仿宋" w:eastAsia="仿宋" w:hAnsi="仿宋" w:cs="仿宋"/>
          <w:sz w:val="44"/>
          <w:u w:color="auto"/>
        </w:rPr>
        <w:t>预算表</w:t>
      </w:r>
    </w:p>
    <w:tbl>
      <w:tblPr>
        <w:tblStyle w:val="12"/>
        <w:tblW w:w="11329" w:type="dxa"/>
        <w:jc w:val="center"/>
        <w:tblLayout w:type="fixed"/>
        <w:tblCellMar>
          <w:top w:w="0" w:type="dxa"/>
          <w:left w:w="108" w:type="dxa"/>
          <w:bottom w:w="0" w:type="dxa"/>
          <w:right w:w="108" w:type="dxa"/>
        </w:tblCellMar>
      </w:tblPr>
      <w:tblGrid>
        <w:gridCol w:w="3908"/>
        <w:gridCol w:w="1869"/>
        <w:gridCol w:w="3704"/>
        <w:gridCol w:w="67"/>
        <w:gridCol w:w="1781"/>
      </w:tblGrid>
      <w:tr w14:paraId="6B843739">
        <w:tblPrEx>
          <w:tblCellMar>
            <w:top w:w="0" w:type="dxa"/>
            <w:left w:w="108" w:type="dxa"/>
            <w:bottom w:w="0" w:type="dxa"/>
            <w:right w:w="108" w:type="dxa"/>
          </w:tblCellMar>
        </w:tblPrEx>
        <w:trPr>
          <w:trHeight w:val="116" w:hRule="atLeast"/>
          <w:jc w:val="center"/>
        </w:trPr>
        <w:tc>
          <w:tcPr>
            <w:tcW w:w="11329" w:type="dxa"/>
            <w:gridSpan w:val="5"/>
            <w:vAlign w:val="center"/>
          </w:tcPr>
          <w:p w14:paraId="702297EC">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14:paraId="1764F984">
        <w:tblPrEx>
          <w:tblCellMar>
            <w:top w:w="0" w:type="dxa"/>
            <w:left w:w="108" w:type="dxa"/>
            <w:bottom w:w="0" w:type="dxa"/>
            <w:right w:w="108" w:type="dxa"/>
          </w:tblCellMar>
        </w:tblPrEx>
        <w:trPr>
          <w:trHeight w:val="348" w:hRule="atLeast"/>
          <w:jc w:val="center"/>
        </w:trPr>
        <w:tc>
          <w:tcPr>
            <w:tcW w:w="11329" w:type="dxa"/>
            <w:gridSpan w:val="5"/>
          </w:tcPr>
          <w:p w14:paraId="5C8D19CF">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14:paraId="24120ED6">
        <w:tblPrEx>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14:paraId="0821509B">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color w:val="000000"/>
                <w:sz w:val="22"/>
                <w:szCs w:val="22"/>
                <w:lang w:eastAsia="ar-SA"/>
              </w:rPr>
              <w:t>连云港市发展和改革委员会（机关）</w:t>
            </w:r>
          </w:p>
        </w:tc>
        <w:tc>
          <w:tcPr>
            <w:tcW w:w="1848" w:type="dxa"/>
            <w:gridSpan w:val="2"/>
            <w:tcBorders>
              <w:bottom w:val="single" w:color="000000" w:sz="4" w:space="0"/>
            </w:tcBorders>
            <w:vAlign w:val="center"/>
          </w:tcPr>
          <w:p w14:paraId="23651FFA">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14:paraId="3702B088">
        <w:tblPrEx>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14:paraId="3FD8F87B">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14:paraId="54A7E373">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14:paraId="1F1A563E">
        <w:tblPrEx>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3454410D">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14:paraId="4A579FD4">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3FF373DD">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14:paraId="6220095F">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5,311.42</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3,936.15</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1,375.27</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23253787">
        <w:tblPrEx>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C2522FE">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14:paraId="6F350C37">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A4A6E1F">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14:paraId="4D00A2CD">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14:paraId="1F33EBB7">
        <w:tblPrEx>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17926F">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38DEB73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5,311.42</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46DD57B8">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6382C9F7">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5,311.42</w:t>
            </w:r>
          </w:p>
        </w:tc>
      </w:tr>
      <w:tr w14:paraId="329AFA72">
        <w:tblPrEx>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44C8D4B2">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14:paraId="3E159CD5">
            <w:pPr>
              <w:widowControl w:val="0"/>
              <w:ind w:left="0" w:right="0" w:firstLine="0"/>
              <w:jc w:val="right"/>
              <w:textAlignment w:val="auto"/>
              <w:rPr>
                <w:rFonts w:hint="eastAsia" w:ascii="仿宋" w:hAnsi="仿宋" w:eastAsia="仿宋" w:cs="仿宋"/>
                <w:b/>
                <w:bCs/>
                <w:color w:val="000000"/>
                <w:sz w:val="22"/>
                <w:szCs w:val="22"/>
                <w:lang w:val="zh-CN" w:eastAsia="ar-SA"/>
              </w:rPr>
            </w:pPr>
            <w:r>
              <w:rPr>
                <w:rFonts w:hint="eastAsia" w:ascii="仿宋" w:hAnsi="仿宋" w:eastAsia="仿宋" w:cs="仿宋"/>
                <w:b/>
                <w:bCs/>
                <w:color w:val="000000"/>
                <w:sz w:val="22"/>
                <w:szCs w:val="22"/>
                <w:lang w:val="zh-CN" w:eastAsia="ar-SA"/>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2FC60096">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14:paraId="3704249E">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r>
          </w:p>
        </w:tc>
      </w:tr>
      <w:tr w14:paraId="76EB94B8">
        <w:tblPrEx>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14:paraId="00222249">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14:paraId="4BCA5632">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5,311.42</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14:paraId="697845E3">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14:paraId="5365208F">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5,311.42</w:t>
            </w:r>
          </w:p>
        </w:tc>
      </w:tr>
    </w:tbl>
    <w:p w14:paraId="6C3B3BB7">
      <w:pPr>
        <w:widowControl w:val="0"/>
        <w:suppressAutoHyphens/>
        <w:bidi w:val="0"/>
        <w:spacing w:before="66" w:after="0"/>
        <w:ind w:right="0"/>
        <w:jc w:val="left"/>
        <w:rPr>
          <w:rFonts w:hint="eastAsia" w:ascii="仿宋" w:hAnsi="仿宋" w:eastAsia="仿宋" w:cs="仿宋"/>
          <w:b/>
          <w:bCs/>
          <w:color w:val="000000"/>
          <w:sz w:val="22"/>
          <w:szCs w:val="22"/>
        </w:rPr>
        <w:sectPr>
          <w:footerReference r:id="rId8"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14:paraId="38C4B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6B2E0BE6">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14:paraId="2F2C6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14:paraId="1E7DD5A7">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331B0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14:paraId="2E442F95">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连云港市发展和改革委员会（机关）</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14:paraId="64D72F53">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14:paraId="6835C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C4B3A1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CE94BD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97B8B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9015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DBFDD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14:paraId="352CE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69B3E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F824EB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72CFE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45D3E8">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29D190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AF7B0A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C7D35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36CBF6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BC8E72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14:paraId="15E05519">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43B4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FF201C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EDF3CD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52065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14:paraId="7B512B5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B67ED2">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CFAAE3">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A0283C">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C79A7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28A4F5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208089B">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14:paraId="1760D3ED">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14:paraId="6B813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2512FF8">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4F33B9">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5,311.42</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BE495F1">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5,311.42</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05EBDD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5,311.42</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7CD33D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732720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7C9D9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42198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1ABB5A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7091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7A95074">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76769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8D17D0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60118DB">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4973A8F">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967099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6E9FE47">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8CAED8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r>
      <w:tr w14:paraId="02F58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ED051D5">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074001</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B5AA96">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连云港市发展和改革委员会（机关）</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77FF9A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5,311.42</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9F45F0D">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5,311.42</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F87E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5,311.42</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AF5C20">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53B2AC">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5D0D17A">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3FFE4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4F3458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0197A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38FC55">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1E6E66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A7023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D981E2">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CADB0A8">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8CE0663">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2C8FB7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C6ECA86">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bl>
    <w:p w14:paraId="05EA3505">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9"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14:paraId="44611C65">
        <w:tblPrEx>
          <w:tblCellMar>
            <w:top w:w="55" w:type="dxa"/>
            <w:left w:w="55" w:type="dxa"/>
            <w:bottom w:w="55" w:type="dxa"/>
            <w:right w:w="55" w:type="dxa"/>
          </w:tblCellMar>
        </w:tblPrEx>
        <w:trPr>
          <w:trHeight w:val="341" w:hRule="atLeast"/>
        </w:trPr>
        <w:tc>
          <w:tcPr>
            <w:tcW w:w="15347" w:type="dxa"/>
            <w:gridSpan w:val="8"/>
            <w:vAlign w:val="center"/>
          </w:tcPr>
          <w:p w14:paraId="7061346E">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14:paraId="30701D2B">
        <w:tblPrEx>
          <w:tblCellMar>
            <w:top w:w="55" w:type="dxa"/>
            <w:left w:w="55" w:type="dxa"/>
            <w:bottom w:w="55" w:type="dxa"/>
            <w:right w:w="55" w:type="dxa"/>
          </w:tblCellMar>
        </w:tblPrEx>
        <w:trPr>
          <w:trHeight w:val="321" w:hRule="atLeast"/>
        </w:trPr>
        <w:tc>
          <w:tcPr>
            <w:tcW w:w="15347" w:type="dxa"/>
            <w:gridSpan w:val="8"/>
            <w:vAlign w:val="center"/>
          </w:tcPr>
          <w:p w14:paraId="314D5A46">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14:paraId="51B21317">
        <w:tblPrEx>
          <w:tblCellMar>
            <w:top w:w="55" w:type="dxa"/>
            <w:left w:w="55" w:type="dxa"/>
            <w:bottom w:w="55" w:type="dxa"/>
            <w:right w:w="55" w:type="dxa"/>
          </w:tblCellMar>
        </w:tblPrEx>
        <w:trPr>
          <w:trHeight w:val="218" w:hRule="atLeast"/>
        </w:trPr>
        <w:tc>
          <w:tcPr>
            <w:tcW w:w="12030" w:type="dxa"/>
            <w:gridSpan w:val="6"/>
            <w:vAlign w:val="center"/>
          </w:tcPr>
          <w:p w14:paraId="73FF8091">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连云港市发展和改革委员会（机关）</w:t>
            </w:r>
          </w:p>
        </w:tc>
        <w:tc>
          <w:tcPr>
            <w:tcW w:w="3317" w:type="dxa"/>
            <w:gridSpan w:val="2"/>
            <w:vAlign w:val="center"/>
          </w:tcPr>
          <w:p w14:paraId="232D1AB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7A36CF1">
        <w:tblPrEx>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14:paraId="4A31811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14:paraId="0470B43A">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14:paraId="4035FCF0">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14:paraId="6DEB6C4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14:paraId="5D483D2D">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14:paraId="2C083FE1">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14:paraId="2282AC79">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14:paraId="4EC4AC47">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14:paraId="7275282F">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14:paraId="2436251E">
        <w:tblPrEx>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14:paraId="26D30828">
            <w:pPr>
              <w:pStyle w:val="22"/>
              <w:widowControl w:val="0"/>
              <w:jc w:val="center"/>
              <w:rPr>
                <w:rFonts w:hint="eastAsia" w:ascii="仿宋" w:hAnsi="仿宋" w:eastAsia="仿宋" w:cs="仿宋"/>
                <w:sz w:val="22"/>
                <w:szCs w:val="22"/>
              </w:rPr>
            </w:pPr>
            <w:r>
              <w:rPr>
                <w:rFonts w:hint="eastAsia" w:ascii="仿宋" w:hAnsi="仿宋" w:eastAsia="仿宋" w:cs="仿宋"/>
                <w:sz w:val="22"/>
                <w:szCs w:val="22"/>
                <w:u/>
              </w:rPr>
              <w:t/>
            </w:r>
            <w:r>
              <w:rPr>
                <w:rFonts w:ascii="仿宋" w:eastAsia="仿宋" w:hAnsi="仿宋" w:cs="仿宋"/>
                <w:sz w:val="22"/>
                <w:u w:color="auto"/>
              </w:rPr>
              <w:t>合计</w:t>
            </w:r>
          </w:p>
        </w:tc>
        <w:tc>
          <w:tcPr>
            <w:tcW w:w="1920" w:type="dxa"/>
            <w:tcBorders>
              <w:left w:val="single" w:color="000000" w:sz="4" w:space="0"/>
              <w:bottom w:val="single" w:color="000000" w:sz="4" w:space="0"/>
            </w:tcBorders>
            <w:vAlign w:val="center"/>
          </w:tcPr>
          <w:p w14:paraId="0B5646C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5,311.42</w:t>
            </w:r>
          </w:p>
        </w:tc>
        <w:tc>
          <w:tcPr>
            <w:tcW w:w="1714" w:type="dxa"/>
            <w:tcBorders>
              <w:left w:val="single" w:color="000000" w:sz="4" w:space="0"/>
              <w:bottom w:val="single" w:color="000000" w:sz="4" w:space="0"/>
            </w:tcBorders>
            <w:vAlign w:val="center"/>
          </w:tcPr>
          <w:p w14:paraId="7AC1DCF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3,893.42</w:t>
            </w:r>
          </w:p>
        </w:tc>
        <w:tc>
          <w:tcPr>
            <w:tcW w:w="1749" w:type="dxa"/>
            <w:tcBorders>
              <w:left w:val="single" w:color="000000" w:sz="4" w:space="0"/>
              <w:bottom w:val="single" w:color="000000" w:sz="4" w:space="0"/>
            </w:tcBorders>
            <w:vAlign w:val="center"/>
          </w:tcPr>
          <w:p w14:paraId="3D172D4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1,418.00</w:t>
            </w:r>
          </w:p>
        </w:tc>
        <w:tc>
          <w:tcPr>
            <w:tcW w:w="1868" w:type="dxa"/>
            <w:tcBorders>
              <w:left w:val="single" w:color="000000" w:sz="4" w:space="0"/>
              <w:bottom w:val="single" w:color="000000" w:sz="4" w:space="0"/>
            </w:tcBorders>
            <w:vAlign w:val="center"/>
          </w:tcPr>
          <w:p w14:paraId="2CBEB3F2">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left w:val="single" w:color="000000" w:sz="4" w:space="0"/>
              <w:bottom w:val="single" w:color="000000" w:sz="4" w:space="0"/>
            </w:tcBorders>
            <w:vAlign w:val="center"/>
          </w:tcPr>
          <w:p w14:paraId="0456E32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left w:val="single" w:color="000000" w:sz="4" w:space="0"/>
              <w:bottom w:val="single" w:color="000000" w:sz="4" w:space="0"/>
              <w:right w:val="single" w:color="000000" w:sz="4" w:space="0"/>
            </w:tcBorders>
            <w:vAlign w:val="center"/>
          </w:tcPr>
          <w:p w14:paraId="725A005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3,936.15</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2,518.15</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1,418.00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发展与改革事务</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3,936.15</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2,518.15</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1,418.00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2010401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行政运行</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2,518.15</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2,518.15</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2010402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一般行政管理事务</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1,418.00</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1,418.00</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221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住房保障支出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1,375.27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1,375.27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住房改革支出</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1,375.27</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1,375.27</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住房公积金</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272.46</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272.46</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18E2B304">
        <w:tblPrEx>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14:paraId="5B96CBEC">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3223" w:type="dxa"/>
            <w:tcBorders>
              <w:top w:val="single" w:color="000000" w:sz="4" w:space="0"/>
              <w:left w:val="single" w:color="000000" w:sz="4" w:space="0"/>
              <w:bottom w:val="single" w:color="000000" w:sz="4" w:space="0"/>
              <w:right w:val="single" w:color="000000" w:sz="4" w:space="0"/>
            </w:tcBorders>
            <w:vAlign w:val="top"/>
          </w:tcPr>
          <w:p w14:paraId="2A3ABE8B">
            <w:pPr>
              <w:pStyle w:val="22"/>
              <w:widowControl w:val="0"/>
              <w:rPr>
                <w:rFonts w:hint="eastAsia" w:ascii="仿宋" w:hAnsi="仿宋" w:eastAsia="仿宋" w:cs="仿宋"/>
                <w:sz w:val="22"/>
                <w:szCs w:val="22"/>
              </w:rPr>
            </w:pPr>
            <w:r>
              <w:rPr>
                <w:rFonts w:hint="eastAsia" w:ascii="仿宋" w:hAnsi="仿宋" w:eastAsia="仿宋" w:cs="仿宋"/>
                <w:sz w:val="22"/>
                <w:szCs w:val="22"/>
              </w:rPr>
              <w:t>提租补贴</w:t>
            </w:r>
          </w:p>
        </w:tc>
        <w:tc>
          <w:tcPr>
            <w:tcW w:w="1920" w:type="dxa"/>
            <w:tcBorders>
              <w:top w:val="single" w:color="000000" w:sz="4" w:space="0"/>
              <w:left w:val="single" w:color="000000" w:sz="4" w:space="0"/>
              <w:bottom w:val="single" w:color="000000" w:sz="4" w:space="0"/>
              <w:right w:val="single" w:color="000000" w:sz="4" w:space="0"/>
            </w:tcBorders>
          </w:tcPr>
          <w:p w14:paraId="1235623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1,102.81</w:t>
            </w:r>
          </w:p>
        </w:tc>
        <w:tc>
          <w:tcPr>
            <w:tcW w:w="1714" w:type="dxa"/>
            <w:tcBorders>
              <w:top w:val="single" w:color="000000" w:sz="4" w:space="0"/>
              <w:left w:val="single" w:color="000000" w:sz="4" w:space="0"/>
              <w:bottom w:val="single" w:color="000000" w:sz="4" w:space="0"/>
              <w:right w:val="single" w:color="000000" w:sz="4" w:space="0"/>
            </w:tcBorders>
          </w:tcPr>
          <w:p w14:paraId="4306DCC4">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1,102.81</w:t>
            </w:r>
          </w:p>
        </w:tc>
        <w:tc>
          <w:tcPr>
            <w:tcW w:w="1749" w:type="dxa"/>
            <w:tcBorders>
              <w:top w:val="single" w:color="000000" w:sz="4" w:space="0"/>
              <w:left w:val="single" w:color="000000" w:sz="4" w:space="0"/>
              <w:bottom w:val="single" w:color="000000" w:sz="4" w:space="0"/>
              <w:right w:val="single" w:color="000000" w:sz="4" w:space="0"/>
            </w:tcBorders>
          </w:tcPr>
          <w:p w14:paraId="2DAFC3E0">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14:paraId="45A8172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14:paraId="26224AB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14:paraId="1E770A4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6F47FE99">
      <w:pPr>
        <w:widowControl w:val="0"/>
        <w:suppressAutoHyphens/>
        <w:bidi w:val="0"/>
        <w:spacing w:before="59" w:after="0"/>
        <w:ind w:left="57" w:right="0" w:firstLine="0"/>
        <w:jc w:val="left"/>
        <w:rPr>
          <w:rFonts w:hint="eastAsia" w:ascii="仿宋" w:hAnsi="仿宋" w:eastAsia="仿宋" w:cs="仿宋"/>
          <w:b/>
          <w:bCs/>
          <w:sz w:val="22"/>
          <w:szCs w:val="22"/>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14:paraId="76E67744">
        <w:tblPrEx>
          <w:tblCellMar>
            <w:top w:w="55" w:type="dxa"/>
            <w:left w:w="55" w:type="dxa"/>
            <w:bottom w:w="55" w:type="dxa"/>
            <w:right w:w="55" w:type="dxa"/>
          </w:tblCellMar>
        </w:tblPrEx>
        <w:trPr>
          <w:trHeight w:val="319" w:hRule="atLeast"/>
        </w:trPr>
        <w:tc>
          <w:tcPr>
            <w:tcW w:w="15789" w:type="dxa"/>
            <w:gridSpan w:val="4"/>
          </w:tcPr>
          <w:p w14:paraId="62E867CC">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14:paraId="1820DDA8">
        <w:tblPrEx>
          <w:tblCellMar>
            <w:top w:w="55" w:type="dxa"/>
            <w:left w:w="55" w:type="dxa"/>
            <w:bottom w:w="55" w:type="dxa"/>
            <w:right w:w="55" w:type="dxa"/>
          </w:tblCellMar>
        </w:tblPrEx>
        <w:trPr>
          <w:trHeight w:val="319" w:hRule="atLeast"/>
        </w:trPr>
        <w:tc>
          <w:tcPr>
            <w:tcW w:w="15789" w:type="dxa"/>
            <w:gridSpan w:val="4"/>
          </w:tcPr>
          <w:p w14:paraId="3FB28F56">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14:paraId="00B5EFFF">
        <w:tblPrEx>
          <w:tblCellMar>
            <w:top w:w="55" w:type="dxa"/>
            <w:left w:w="55" w:type="dxa"/>
            <w:bottom w:w="55" w:type="dxa"/>
            <w:right w:w="55" w:type="dxa"/>
          </w:tblCellMar>
        </w:tblPrEx>
        <w:trPr>
          <w:trHeight w:val="319" w:hRule="atLeast"/>
        </w:trPr>
        <w:tc>
          <w:tcPr>
            <w:tcW w:w="11890" w:type="dxa"/>
            <w:gridSpan w:val="3"/>
          </w:tcPr>
          <w:p w14:paraId="397DE508">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连云港市发展和改革委员会（机关）</w:t>
            </w:r>
          </w:p>
        </w:tc>
        <w:tc>
          <w:tcPr>
            <w:tcW w:w="3899" w:type="dxa"/>
            <w:vAlign w:val="center"/>
          </w:tcPr>
          <w:p w14:paraId="53F407E4">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14:paraId="78DBC8FC">
        <w:tblPrEx>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14:paraId="4627C4B5">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14:paraId="4ABF517F">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14:paraId="3B93835E">
        <w:tblPrEx>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14:paraId="3B46D60A">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u/>
              </w:rPr>
              <w:t/>
            </w:r>
            <w:r>
              <w:rPr>
                <w:b w:val="on"/>
                <w:rFonts w:ascii="仿宋" w:eastAsia="仿宋" w:hAnsi="仿宋" w:cs="仿宋"/>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14:paraId="39117F34">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14:paraId="360C3CE6">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14:paraId="0A0EBC85">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5,311.42</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5,311.42</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5,311.42</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3,936.15</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1,375.27</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441B6CF0">
        <w:tblPrEx>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14:paraId="54E1ABE6">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14:paraId="371EAB5E">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14:paraId="49E9F22B">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14:paraId="4480C3DB">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14:paraId="3F2BB7B5">
        <w:tblPrEx>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14:paraId="52476F76">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14:paraId="50DBCC23">
            <w:pPr>
              <w:widowControl w:val="0"/>
              <w:jc w:val="right"/>
              <w:rPr>
                <w:rFonts w:hint="eastAsia" w:ascii="仿宋" w:hAnsi="仿宋" w:eastAsia="仿宋" w:cs="仿宋"/>
                <w:sz w:val="22"/>
                <w:szCs w:val="22"/>
              </w:rPr>
            </w:pPr>
            <w:r>
              <w:rPr>
                <w:rFonts w:hint="eastAsia" w:ascii="仿宋" w:hAnsi="仿宋" w:eastAsia="仿宋" w:cs="仿宋"/>
                <w:sz w:val="22"/>
                <w:szCs w:val="22"/>
              </w:rPr>
              <w:t>5,311.42</w:t>
            </w:r>
          </w:p>
        </w:tc>
        <w:tc>
          <w:tcPr>
            <w:tcW w:w="3943" w:type="dxa"/>
            <w:tcBorders>
              <w:left w:val="single" w:color="000000" w:sz="4" w:space="0"/>
              <w:bottom w:val="single" w:color="000000" w:sz="4" w:space="0"/>
            </w:tcBorders>
            <w:vAlign w:val="center"/>
          </w:tcPr>
          <w:p w14:paraId="72FA9CBD">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14:paraId="0A3CBB07">
            <w:pPr>
              <w:widowControl w:val="0"/>
              <w:jc w:val="right"/>
              <w:rPr>
                <w:rFonts w:hint="eastAsia" w:ascii="仿宋" w:hAnsi="仿宋" w:eastAsia="仿宋" w:cs="仿宋"/>
                <w:sz w:val="22"/>
                <w:szCs w:val="22"/>
              </w:rPr>
            </w:pPr>
            <w:r>
              <w:rPr>
                <w:rFonts w:hint="eastAsia" w:ascii="仿宋" w:hAnsi="仿宋" w:eastAsia="仿宋" w:cs="仿宋"/>
                <w:sz w:val="22"/>
                <w:szCs w:val="22"/>
              </w:rPr>
              <w:t>5,311.42</w:t>
            </w:r>
          </w:p>
        </w:tc>
      </w:tr>
    </w:tbl>
    <w:p w14:paraId="18BF5FBD">
      <w:pPr>
        <w:ind w:left="-220" w:leftChars="-100" w:firstLine="0" w:firstLineChars="0"/>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14:paraId="781504FE">
        <w:tblPrEx>
          <w:tblCellMar>
            <w:top w:w="55" w:type="dxa"/>
            <w:left w:w="55" w:type="dxa"/>
            <w:bottom w:w="55" w:type="dxa"/>
            <w:right w:w="55" w:type="dxa"/>
          </w:tblCellMar>
        </w:tblPrEx>
        <w:trPr>
          <w:trHeight w:val="321" w:hRule="atLeast"/>
        </w:trPr>
        <w:tc>
          <w:tcPr>
            <w:tcW w:w="15216" w:type="dxa"/>
            <w:gridSpan w:val="7"/>
            <w:vAlign w:val="center"/>
          </w:tcPr>
          <w:p w14:paraId="344B4167">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14:paraId="0DD1905D">
        <w:tblPrEx>
          <w:tblCellMar>
            <w:top w:w="55" w:type="dxa"/>
            <w:left w:w="55" w:type="dxa"/>
            <w:bottom w:w="55" w:type="dxa"/>
            <w:right w:w="55" w:type="dxa"/>
          </w:tblCellMar>
        </w:tblPrEx>
        <w:trPr>
          <w:trHeight w:val="321" w:hRule="atLeast"/>
        </w:trPr>
        <w:tc>
          <w:tcPr>
            <w:tcW w:w="15216" w:type="dxa"/>
            <w:gridSpan w:val="7"/>
          </w:tcPr>
          <w:p w14:paraId="3979B85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14:paraId="597F73CC">
        <w:tblPrEx>
          <w:tblCellMar>
            <w:top w:w="55" w:type="dxa"/>
            <w:left w:w="55" w:type="dxa"/>
            <w:bottom w:w="55" w:type="dxa"/>
            <w:right w:w="55" w:type="dxa"/>
          </w:tblCellMar>
        </w:tblPrEx>
        <w:trPr>
          <w:trHeight w:val="309" w:hRule="atLeast"/>
        </w:trPr>
        <w:tc>
          <w:tcPr>
            <w:tcW w:w="13552" w:type="dxa"/>
            <w:gridSpan w:val="6"/>
          </w:tcPr>
          <w:p w14:paraId="4FF30C2D">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连云港市发展和改革委员会（机关）</w:t>
            </w:r>
          </w:p>
        </w:tc>
        <w:tc>
          <w:tcPr>
            <w:tcW w:w="1664" w:type="dxa"/>
            <w:vAlign w:val="center"/>
          </w:tcPr>
          <w:p w14:paraId="3A0AD504">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72EB53EE">
        <w:tblPrEx>
          <w:tblCellMar>
            <w:top w:w="55" w:type="dxa"/>
            <w:left w:w="55" w:type="dxa"/>
            <w:bottom w:w="55" w:type="dxa"/>
            <w:right w:w="55" w:type="dxa"/>
          </w:tblCellMar>
        </w:tblPrEx>
        <w:trPr>
          <w:trHeight w:val="319" w:hRule="atLeast"/>
        </w:trPr>
        <w:tc>
          <w:tcPr>
            <w:tcW w:w="1846" w:type="dxa"/>
            <w:vMerge w:val="restart"/>
            <w:tcBorders>
              <w:top w:val="single" w:color="000000" w:sz="6" w:space="0"/>
              <w:left w:val="single" w:color="000000" w:sz="6" w:space="0"/>
            </w:tcBorders>
            <w:vAlign w:val="center"/>
          </w:tcPr>
          <w:p w14:paraId="6B53EBEE">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14:paraId="596BB34A">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14:paraId="7309852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14:paraId="358079C4">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14:paraId="045615D7">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14:paraId="01EF94C3">
        <w:tblPrEx>
          <w:tblCellMar>
            <w:top w:w="55" w:type="dxa"/>
            <w:left w:w="55" w:type="dxa"/>
            <w:bottom w:w="55" w:type="dxa"/>
            <w:right w:w="55" w:type="dxa"/>
          </w:tblCellMar>
        </w:tblPrEx>
        <w:trPr>
          <w:trHeight w:val="296" w:hRule="atLeast"/>
        </w:trPr>
        <w:tc>
          <w:tcPr>
            <w:tcW w:w="1846" w:type="dxa"/>
            <w:vMerge w:val="continue"/>
            <w:tcBorders>
              <w:left w:val="single" w:color="000000" w:sz="6" w:space="0"/>
              <w:bottom w:val="single" w:color="000000" w:sz="6" w:space="0"/>
            </w:tcBorders>
            <w:vAlign w:val="center"/>
          </w:tcPr>
          <w:p w14:paraId="154AA0F0">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14:paraId="76900091">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14:paraId="3FA268C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14:paraId="5B38143E">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14:paraId="4C4F172F">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14:paraId="4F619415">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14:paraId="39AA244C">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14:paraId="40F8EE40">
        <w:tblPrEx>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14:paraId="702733D5">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14:paraId="04A5033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5,311.42</w:t>
            </w:r>
          </w:p>
        </w:tc>
        <w:tc>
          <w:tcPr>
            <w:tcW w:w="1827" w:type="dxa"/>
            <w:tcBorders>
              <w:left w:val="single" w:color="000000" w:sz="6" w:space="0"/>
              <w:bottom w:val="single" w:color="000000" w:sz="6" w:space="0"/>
            </w:tcBorders>
          </w:tcPr>
          <w:p w14:paraId="72125376">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3,893.42</w:t>
            </w:r>
          </w:p>
        </w:tc>
        <w:tc>
          <w:tcPr>
            <w:tcW w:w="1813" w:type="dxa"/>
            <w:tcBorders>
              <w:left w:val="single" w:color="000000" w:sz="6" w:space="0"/>
              <w:bottom w:val="single" w:color="000000" w:sz="6" w:space="0"/>
            </w:tcBorders>
          </w:tcPr>
          <w:p w14:paraId="21468739">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3,669.67</w:t>
            </w:r>
          </w:p>
        </w:tc>
        <w:tc>
          <w:tcPr>
            <w:tcW w:w="1813" w:type="dxa"/>
            <w:tcBorders>
              <w:left w:val="single" w:color="000000" w:sz="6" w:space="0"/>
              <w:bottom w:val="single" w:color="000000" w:sz="6" w:space="0"/>
            </w:tcBorders>
          </w:tcPr>
          <w:p w14:paraId="3253527E">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223.75</w:t>
            </w:r>
          </w:p>
        </w:tc>
        <w:tc>
          <w:tcPr>
            <w:tcW w:w="1664" w:type="dxa"/>
            <w:tcBorders>
              <w:left w:val="single" w:color="000000" w:sz="6" w:space="0"/>
              <w:bottom w:val="single" w:color="000000" w:sz="6" w:space="0"/>
              <w:right w:val="single" w:color="000000" w:sz="6" w:space="0"/>
            </w:tcBorders>
          </w:tcPr>
          <w:p w14:paraId="1DC734D5">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1,418.00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3,936.15</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2,518.15</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2,294.40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223.75</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1,418.00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发展与改革事务</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3,936.15</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2,518.15</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2,294.40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223.75</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1,418.00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2010401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行政运行</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2,518.15</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2,518.15</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2,294.40</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223.75</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2010402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一般行政管理事务</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1,418.00</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1,418.00</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1,375.27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1,375.27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1,375.27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1,375.27</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1,375.27</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1,375.27</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住房公积金</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272.46</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272.46</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272.46</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14:paraId="079D0DE9">
        <w:tblPrEx>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14:paraId="4089E7D5">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213" w:type="dxa"/>
            <w:tcBorders>
              <w:top w:val="single" w:color="000000" w:sz="6" w:space="0"/>
              <w:left w:val="single" w:color="000000" w:sz="4" w:space="0"/>
              <w:bottom w:val="single" w:color="000000" w:sz="6" w:space="0"/>
              <w:right w:val="single" w:color="000000" w:sz="4" w:space="0"/>
            </w:tcBorders>
            <w:vAlign w:val="center"/>
          </w:tcPr>
          <w:p w14:paraId="6C66E0D8">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提租补贴</w:t>
            </w:r>
          </w:p>
        </w:tc>
        <w:tc>
          <w:tcPr>
            <w:tcW w:w="2040" w:type="dxa"/>
            <w:tcBorders>
              <w:top w:val="single" w:color="000000" w:sz="6" w:space="0"/>
              <w:left w:val="single" w:color="000000" w:sz="4" w:space="0"/>
              <w:bottom w:val="single" w:color="000000" w:sz="6" w:space="0"/>
              <w:right w:val="single" w:color="000000" w:sz="4" w:space="0"/>
            </w:tcBorders>
            <w:vAlign w:val="center"/>
          </w:tcPr>
          <w:p w14:paraId="0EF794E0">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1,102.81</w:t>
            </w:r>
          </w:p>
        </w:tc>
        <w:tc>
          <w:tcPr>
            <w:tcW w:w="1827" w:type="dxa"/>
            <w:tcBorders>
              <w:top w:val="single" w:color="000000" w:sz="6" w:space="0"/>
              <w:left w:val="single" w:color="000000" w:sz="4" w:space="0"/>
              <w:bottom w:val="single" w:color="000000" w:sz="6" w:space="0"/>
              <w:right w:val="single" w:color="000000" w:sz="4" w:space="0"/>
            </w:tcBorders>
            <w:vAlign w:val="center"/>
          </w:tcPr>
          <w:p w14:paraId="4987D1EF">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1,102.81</w:t>
            </w:r>
          </w:p>
        </w:tc>
        <w:tc>
          <w:tcPr>
            <w:tcW w:w="1813" w:type="dxa"/>
            <w:tcBorders>
              <w:top w:val="single" w:color="000000" w:sz="6" w:space="0"/>
              <w:left w:val="single" w:color="000000" w:sz="4" w:space="0"/>
              <w:bottom w:val="single" w:color="000000" w:sz="6" w:space="0"/>
              <w:right w:val="single" w:color="000000" w:sz="4" w:space="0"/>
            </w:tcBorders>
            <w:vAlign w:val="center"/>
          </w:tcPr>
          <w:p w14:paraId="7540CD41">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1,102.81</w:t>
            </w:r>
          </w:p>
        </w:tc>
        <w:tc>
          <w:tcPr>
            <w:tcW w:w="1813" w:type="dxa"/>
            <w:tcBorders>
              <w:top w:val="single" w:color="000000" w:sz="6" w:space="0"/>
              <w:left w:val="single" w:color="000000" w:sz="4" w:space="0"/>
              <w:bottom w:val="single" w:color="000000" w:sz="6" w:space="0"/>
              <w:right w:val="single" w:color="000000" w:sz="4" w:space="0"/>
            </w:tcBorders>
            <w:vAlign w:val="center"/>
          </w:tcPr>
          <w:p w14:paraId="3153665B">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14:paraId="5BB7162C">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bl>
    <w:p w14:paraId="6144A040">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2"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0A669AC6">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14:paraId="6C9496A1">
        <w:tblPrEx>
          <w:tblCellMar>
            <w:top w:w="55" w:type="dxa"/>
            <w:left w:w="55" w:type="dxa"/>
            <w:bottom w:w="55" w:type="dxa"/>
            <w:right w:w="55" w:type="dxa"/>
          </w:tblCellMar>
        </w:tblPrEx>
        <w:trPr>
          <w:trHeight w:val="319" w:hRule="atLeast"/>
        </w:trPr>
        <w:tc>
          <w:tcPr>
            <w:tcW w:w="10817" w:type="dxa"/>
            <w:gridSpan w:val="5"/>
            <w:vAlign w:val="center"/>
          </w:tcPr>
          <w:p w14:paraId="5B4201F6">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14:paraId="16CF153D">
        <w:tblPrEx>
          <w:tblCellMar>
            <w:top w:w="55" w:type="dxa"/>
            <w:left w:w="55" w:type="dxa"/>
            <w:bottom w:w="55" w:type="dxa"/>
            <w:right w:w="55" w:type="dxa"/>
          </w:tblCellMar>
        </w:tblPrEx>
        <w:trPr>
          <w:trHeight w:val="319" w:hRule="atLeast"/>
        </w:trPr>
        <w:tc>
          <w:tcPr>
            <w:tcW w:w="10817" w:type="dxa"/>
            <w:gridSpan w:val="5"/>
          </w:tcPr>
          <w:p w14:paraId="2DF9A6DA">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14:paraId="61428C1F">
        <w:tblPrEx>
          <w:tblCellMar>
            <w:top w:w="55" w:type="dxa"/>
            <w:left w:w="55" w:type="dxa"/>
            <w:bottom w:w="55" w:type="dxa"/>
            <w:right w:w="55" w:type="dxa"/>
          </w:tblCellMar>
        </w:tblPrEx>
        <w:trPr>
          <w:trHeight w:val="319" w:hRule="atLeast"/>
        </w:trPr>
        <w:tc>
          <w:tcPr>
            <w:tcW w:w="8760" w:type="dxa"/>
            <w:gridSpan w:val="4"/>
          </w:tcPr>
          <w:p w14:paraId="5F7506DC">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连云港市发展和改革委员会（机关）</w:t>
            </w:r>
          </w:p>
        </w:tc>
        <w:tc>
          <w:tcPr>
            <w:tcW w:w="2057" w:type="dxa"/>
            <w:vAlign w:val="center"/>
          </w:tcPr>
          <w:p w14:paraId="6C4E20D2">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22FFB9C6">
        <w:tblPrEx>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14:paraId="02A4A69D">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14:paraId="3A654AB3">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14:paraId="3135FA81">
        <w:tblPrEx>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14:paraId="20B4517E">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14:paraId="0810D023">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14:paraId="7B983408">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14:paraId="15CA38C0">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14:paraId="1888E2CD">
            <w:pPr>
              <w:pStyle w:val="22"/>
              <w:widowControl w:val="0"/>
              <w:jc w:val="center"/>
              <w:rPr>
                <w:rFonts w:hint="eastAsia" w:ascii="仿宋" w:hAnsi="仿宋" w:eastAsia="仿宋" w:cs="仿宋"/>
              </w:rPr>
            </w:pPr>
            <w:r>
              <w:rPr>
                <w:rFonts w:hint="eastAsia" w:ascii="仿宋" w:hAnsi="仿宋" w:eastAsia="仿宋" w:cs="仿宋"/>
              </w:rPr>
              <w:t>公用经费</w:t>
            </w:r>
          </w:p>
        </w:tc>
      </w:tr>
      <w:tr w14:paraId="39E08D31">
        <w:tblPrEx>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14:paraId="2046E541">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合计</w:t>
            </w:r>
          </w:p>
        </w:tc>
        <w:tc>
          <w:tcPr>
            <w:tcW w:w="2047" w:type="dxa"/>
            <w:tcBorders>
              <w:left w:val="single" w:color="000000" w:sz="4" w:space="0"/>
              <w:bottom w:val="single" w:color="000000" w:sz="4" w:space="0"/>
            </w:tcBorders>
            <w:vAlign w:val="center"/>
          </w:tcPr>
          <w:p w14:paraId="0DAA66E4">
            <w:pPr>
              <w:pStyle w:val="22"/>
              <w:widowControl w:val="0"/>
              <w:jc w:val="right"/>
              <w:rPr>
                <w:rFonts w:hint="eastAsia" w:ascii="仿宋" w:hAnsi="仿宋" w:eastAsia="仿宋" w:cs="仿宋"/>
              </w:rPr>
            </w:pPr>
            <w:r>
              <w:rPr>
                <w:rFonts w:hint="eastAsia" w:ascii="仿宋" w:hAnsi="仿宋" w:eastAsia="仿宋" w:cs="仿宋"/>
              </w:rPr>
              <w:t>3,893.42</w:t>
            </w:r>
          </w:p>
        </w:tc>
        <w:tc>
          <w:tcPr>
            <w:tcW w:w="2040" w:type="dxa"/>
            <w:tcBorders>
              <w:left w:val="single" w:color="000000" w:sz="4" w:space="0"/>
              <w:bottom w:val="single" w:color="000000" w:sz="4" w:space="0"/>
            </w:tcBorders>
            <w:vAlign w:val="center"/>
          </w:tcPr>
          <w:p w14:paraId="544608F4">
            <w:pPr>
              <w:pStyle w:val="22"/>
              <w:widowControl w:val="0"/>
              <w:jc w:val="right"/>
              <w:rPr>
                <w:rFonts w:hint="eastAsia" w:ascii="仿宋" w:hAnsi="仿宋" w:eastAsia="仿宋" w:cs="仿宋"/>
              </w:rPr>
            </w:pPr>
            <w:r>
              <w:rPr>
                <w:rFonts w:hint="eastAsia" w:ascii="仿宋" w:hAnsi="仿宋" w:eastAsia="仿宋" w:cs="仿宋"/>
              </w:rPr>
              <w:t>3,669.67</w:t>
            </w:r>
          </w:p>
        </w:tc>
        <w:tc>
          <w:tcPr>
            <w:tcW w:w="2057" w:type="dxa"/>
            <w:tcBorders>
              <w:left w:val="single" w:color="000000" w:sz="4" w:space="0"/>
              <w:bottom w:val="single" w:color="000000" w:sz="4" w:space="0"/>
              <w:right w:val="single" w:color="000000" w:sz="4" w:space="0"/>
            </w:tcBorders>
            <w:vAlign w:val="center"/>
          </w:tcPr>
          <w:p w14:paraId="4F5B871A">
            <w:pPr>
              <w:pStyle w:val="22"/>
              <w:widowControl w:val="0"/>
              <w:jc w:val="right"/>
              <w:rPr>
                <w:rFonts w:hint="eastAsia" w:ascii="仿宋" w:hAnsi="仿宋" w:eastAsia="仿宋" w:cs="仿宋"/>
              </w:rPr>
            </w:pPr>
            <w:r>
              <w:rPr>
                <w:rFonts w:hint="eastAsia" w:ascii="仿宋" w:hAnsi="仿宋" w:eastAsia="仿宋" w:cs="仿宋"/>
              </w:rPr>
              <w:t>223.75</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2,935.30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2,935.30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566.80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566.80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1,094.30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1,094.30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奖金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401.38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401.38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234.78</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234.78</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117.39</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117.39</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210.42</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210.42</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22.47</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22.47</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272.46</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272.46</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15.30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15.30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223.75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223.75</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10.00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印刷费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10.00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邮电费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10.00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差旅费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35.00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35.00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因公出国（境）费用</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15.00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15.00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维修（护）费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10.00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30215</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会议费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10.00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培训费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10.00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10.00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公务接待费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4.80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4.80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29.35</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29.35</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79.60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79.60</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734.37</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734.37</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30301</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离休费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73.23</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73.23</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退休费</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656.50</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656.50</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r w14:paraId="0BB3218E">
        <w:tblPrEx>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14:paraId="143A70F6">
            <w:pPr>
              <w:pStyle w:val="22"/>
              <w:widowControl w:val="0"/>
              <w:jc w:val="left"/>
              <w:rPr>
                <w:rFonts w:hint="eastAsia" w:ascii="仿宋" w:hAnsi="仿宋" w:eastAsia="仿宋" w:cs="仿宋"/>
              </w:rPr>
            </w:pPr>
            <w:r>
              <w:rPr>
                <w:rFonts w:hint="eastAsia" w:ascii="仿宋" w:hAnsi="仿宋" w:eastAsia="仿宋" w:cs="仿宋"/>
              </w:rPr>
              <w:t xml:space="preserve">  30305</w:t>
            </w:r>
          </w:p>
        </w:tc>
        <w:tc>
          <w:tcPr>
            <w:tcW w:w="3542" w:type="dxa"/>
            <w:tcBorders>
              <w:top w:val="single" w:color="000000" w:sz="4" w:space="0"/>
              <w:left w:val="single" w:color="000000" w:sz="4" w:space="0"/>
              <w:bottom w:val="single" w:color="000000" w:sz="4" w:space="0"/>
              <w:right w:val="single" w:color="000000" w:sz="4" w:space="0"/>
            </w:tcBorders>
            <w:vAlign w:val="center"/>
          </w:tcPr>
          <w:p w14:paraId="62EF729E">
            <w:pPr>
              <w:pStyle w:val="22"/>
              <w:widowControl w:val="0"/>
              <w:jc w:val="left"/>
              <w:rPr>
                <w:rFonts w:hint="eastAsia" w:ascii="仿宋" w:hAnsi="仿宋" w:eastAsia="仿宋" w:cs="仿宋"/>
              </w:rPr>
            </w:pPr>
            <w:r>
              <w:rPr>
                <w:rFonts w:hint="eastAsia" w:ascii="仿宋" w:hAnsi="仿宋" w:eastAsia="仿宋" w:cs="仿宋"/>
              </w:rPr>
              <w:t>生活补助</w:t>
            </w:r>
          </w:p>
        </w:tc>
        <w:tc>
          <w:tcPr>
            <w:tcW w:w="2047" w:type="dxa"/>
            <w:tcBorders>
              <w:top w:val="single" w:color="000000" w:sz="4" w:space="0"/>
              <w:left w:val="single" w:color="000000" w:sz="4" w:space="0"/>
              <w:bottom w:val="single" w:color="000000" w:sz="4" w:space="0"/>
              <w:right w:val="single" w:color="000000" w:sz="4" w:space="0"/>
            </w:tcBorders>
            <w:vAlign w:val="center"/>
          </w:tcPr>
          <w:p w14:paraId="3988FE79">
            <w:pPr>
              <w:pStyle w:val="22"/>
              <w:widowControl w:val="0"/>
              <w:jc w:val="right"/>
              <w:rPr>
                <w:rFonts w:hint="eastAsia" w:ascii="仿宋" w:hAnsi="仿宋" w:eastAsia="仿宋" w:cs="仿宋"/>
              </w:rPr>
            </w:pPr>
            <w:r>
              <w:rPr>
                <w:rFonts w:hint="eastAsia" w:ascii="仿宋" w:hAnsi="仿宋" w:eastAsia="仿宋" w:cs="仿宋"/>
              </w:rPr>
              <w:t>4.64</w:t>
            </w:r>
          </w:p>
        </w:tc>
        <w:tc>
          <w:tcPr>
            <w:tcW w:w="2040" w:type="dxa"/>
            <w:tcBorders>
              <w:top w:val="single" w:color="000000" w:sz="4" w:space="0"/>
              <w:left w:val="single" w:color="000000" w:sz="4" w:space="0"/>
              <w:bottom w:val="single" w:color="000000" w:sz="4" w:space="0"/>
              <w:right w:val="single" w:color="000000" w:sz="4" w:space="0"/>
            </w:tcBorders>
            <w:vAlign w:val="center"/>
          </w:tcPr>
          <w:p w14:paraId="03C532EC">
            <w:pPr>
              <w:pStyle w:val="22"/>
              <w:widowControl w:val="0"/>
              <w:jc w:val="right"/>
              <w:rPr>
                <w:rFonts w:hint="eastAsia" w:ascii="仿宋" w:hAnsi="仿宋" w:eastAsia="仿宋" w:cs="仿宋"/>
              </w:rPr>
            </w:pPr>
            <w:r>
              <w:rPr>
                <w:rFonts w:hint="eastAsia" w:ascii="仿宋" w:hAnsi="仿宋" w:eastAsia="仿宋" w:cs="仿宋"/>
              </w:rPr>
              <w:t>4.64</w:t>
            </w:r>
          </w:p>
        </w:tc>
        <w:tc>
          <w:tcPr>
            <w:tcW w:w="2057" w:type="dxa"/>
            <w:tcBorders>
              <w:top w:val="single" w:color="000000" w:sz="4" w:space="0"/>
              <w:left w:val="single" w:color="000000" w:sz="4" w:space="0"/>
              <w:bottom w:val="single" w:color="000000" w:sz="4" w:space="0"/>
              <w:right w:val="single" w:color="000000" w:sz="4" w:space="0"/>
            </w:tcBorders>
            <w:vAlign w:val="center"/>
          </w:tcPr>
          <w:p w14:paraId="0ABBD53D">
            <w:pPr>
              <w:pStyle w:val="22"/>
              <w:widowControl w:val="0"/>
              <w:jc w:val="right"/>
              <w:rPr>
                <w:rFonts w:hint="eastAsia" w:ascii="仿宋" w:hAnsi="仿宋" w:eastAsia="仿宋" w:cs="仿宋"/>
              </w:rPr>
            </w:pPr>
            <w:r>
              <w:rPr>
                <w:rFonts w:hint="eastAsia" w:ascii="仿宋" w:hAnsi="仿宋" w:eastAsia="仿宋" w:cs="仿宋"/>
              </w:rPr>
              <w:t/>
            </w:r>
          </w:p>
        </w:tc>
      </w:tr>
    </w:tbl>
    <w:p w14:paraId="69219CD5">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3"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14:paraId="494EE97C">
        <w:tblPrEx>
          <w:tblCellMar>
            <w:top w:w="55" w:type="dxa"/>
            <w:left w:w="55" w:type="dxa"/>
            <w:bottom w:w="55" w:type="dxa"/>
            <w:right w:w="55" w:type="dxa"/>
          </w:tblCellMar>
        </w:tblPrEx>
        <w:trPr>
          <w:trHeight w:val="321" w:hRule="atLeast"/>
        </w:trPr>
        <w:tc>
          <w:tcPr>
            <w:tcW w:w="15216" w:type="dxa"/>
            <w:gridSpan w:val="7"/>
            <w:vAlign w:val="center"/>
          </w:tcPr>
          <w:p w14:paraId="51EC2F5C">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14:paraId="2FDF7549">
        <w:tblPrEx>
          <w:tblCellMar>
            <w:top w:w="55" w:type="dxa"/>
            <w:left w:w="55" w:type="dxa"/>
            <w:bottom w:w="55" w:type="dxa"/>
            <w:right w:w="55" w:type="dxa"/>
          </w:tblCellMar>
        </w:tblPrEx>
        <w:trPr>
          <w:trHeight w:val="321" w:hRule="atLeast"/>
        </w:trPr>
        <w:tc>
          <w:tcPr>
            <w:tcW w:w="15216" w:type="dxa"/>
            <w:gridSpan w:val="7"/>
          </w:tcPr>
          <w:p w14:paraId="72828270">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14:paraId="586FA423">
        <w:tblPrEx>
          <w:tblCellMar>
            <w:top w:w="55" w:type="dxa"/>
            <w:left w:w="55" w:type="dxa"/>
            <w:bottom w:w="55" w:type="dxa"/>
            <w:right w:w="55" w:type="dxa"/>
          </w:tblCellMar>
        </w:tblPrEx>
        <w:trPr>
          <w:trHeight w:val="288" w:hRule="atLeast"/>
        </w:trPr>
        <w:tc>
          <w:tcPr>
            <w:tcW w:w="13566" w:type="dxa"/>
            <w:gridSpan w:val="6"/>
          </w:tcPr>
          <w:p w14:paraId="5561AF88">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连云港市发展和改革委员会（机关）</w:t>
            </w:r>
          </w:p>
        </w:tc>
        <w:tc>
          <w:tcPr>
            <w:tcW w:w="1650" w:type="dxa"/>
            <w:vAlign w:val="center"/>
          </w:tcPr>
          <w:p w14:paraId="704B056B">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099C2DA8">
        <w:tblPrEx>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14:paraId="4E3D23C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14:paraId="6BBC9BFE">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14:paraId="4E56B37C">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14:paraId="71663243">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14:paraId="05D3C45D">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14:paraId="31087D9D">
        <w:tblPrEx>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14:paraId="2A2EB686">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14:paraId="7B9A2FE2">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14:paraId="1F65438A">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14:paraId="678B5745">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14:paraId="14B7F204">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14:paraId="3140B1B7">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14:paraId="00D137D4">
            <w:pPr>
              <w:widowControl w:val="0"/>
              <w:jc w:val="left"/>
              <w:rPr>
                <w:rFonts w:hint="eastAsia" w:ascii="仿宋" w:hAnsi="仿宋" w:eastAsia="仿宋" w:cs="仿宋"/>
                <w:sz w:val="22"/>
                <w:szCs w:val="22"/>
              </w:rPr>
            </w:pPr>
          </w:p>
        </w:tc>
      </w:tr>
      <w:tr w14:paraId="2919B456">
        <w:tblPrEx>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14:paraId="4007DAB5">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14:paraId="5E2CD935">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5,311.42</w:t>
            </w:r>
          </w:p>
        </w:tc>
        <w:tc>
          <w:tcPr>
            <w:tcW w:w="1693" w:type="dxa"/>
            <w:tcBorders>
              <w:left w:val="single" w:color="000000" w:sz="6" w:space="0"/>
              <w:bottom w:val="single" w:color="000000" w:sz="6" w:space="0"/>
            </w:tcBorders>
          </w:tcPr>
          <w:p w14:paraId="772ED106">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3,893.42</w:t>
            </w:r>
          </w:p>
        </w:tc>
        <w:tc>
          <w:tcPr>
            <w:tcW w:w="1987" w:type="dxa"/>
            <w:tcBorders>
              <w:left w:val="single" w:color="000000" w:sz="6" w:space="0"/>
              <w:bottom w:val="single" w:color="000000" w:sz="6" w:space="0"/>
            </w:tcBorders>
          </w:tcPr>
          <w:p w14:paraId="5BD8E28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3,669.67</w:t>
            </w:r>
          </w:p>
        </w:tc>
        <w:tc>
          <w:tcPr>
            <w:tcW w:w="1827" w:type="dxa"/>
            <w:tcBorders>
              <w:left w:val="single" w:color="000000" w:sz="6" w:space="0"/>
              <w:bottom w:val="single" w:color="000000" w:sz="6" w:space="0"/>
            </w:tcBorders>
          </w:tcPr>
          <w:p w14:paraId="2831BE4A">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223.75</w:t>
            </w:r>
          </w:p>
        </w:tc>
        <w:tc>
          <w:tcPr>
            <w:tcW w:w="1650" w:type="dxa"/>
            <w:tcBorders>
              <w:left w:val="single" w:color="000000" w:sz="6" w:space="0"/>
              <w:bottom w:val="single" w:color="000000" w:sz="6" w:space="0"/>
              <w:right w:val="single" w:color="000000" w:sz="6" w:space="0"/>
            </w:tcBorders>
          </w:tcPr>
          <w:p w14:paraId="2A55F17D">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1,418.00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一般公共服务支出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3,936.15</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2,518.15</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2,294.40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223.75</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1,418.00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20104</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发展与改革事务</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3,936.15</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2,518.15</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2,294.40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223.75</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1,418.00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2010401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行政运行</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2,518.15</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2,518.15</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2,294.40</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223.75</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2010402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一般行政管理事务</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1,418.00</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1,418.00</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1,375.27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1,375.27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1,375.27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1,375.27</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1,375.27</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1,375.27</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住房公积金</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272.46</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272.46</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272.46</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14:paraId="3EB09A16">
        <w:tblPrEx>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14:paraId="44520BEB">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307" w:type="dxa"/>
            <w:tcBorders>
              <w:top w:val="single" w:color="000000" w:sz="6" w:space="0"/>
              <w:left w:val="single" w:color="000000" w:sz="4" w:space="0"/>
              <w:bottom w:val="single" w:color="000000" w:sz="6" w:space="0"/>
              <w:right w:val="single" w:color="000000" w:sz="4" w:space="0"/>
            </w:tcBorders>
            <w:vAlign w:val="center"/>
          </w:tcPr>
          <w:p w14:paraId="30EAD941">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提租补贴</w:t>
            </w:r>
          </w:p>
        </w:tc>
        <w:tc>
          <w:tcPr>
            <w:tcW w:w="1960" w:type="dxa"/>
            <w:tcBorders>
              <w:top w:val="single" w:color="000000" w:sz="6" w:space="0"/>
              <w:left w:val="single" w:color="000000" w:sz="4" w:space="0"/>
              <w:bottom w:val="single" w:color="000000" w:sz="6" w:space="0"/>
              <w:right w:val="single" w:color="000000" w:sz="4" w:space="0"/>
            </w:tcBorders>
            <w:vAlign w:val="center"/>
          </w:tcPr>
          <w:p w14:paraId="3800CB0C">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1,102.81</w:t>
            </w:r>
          </w:p>
        </w:tc>
        <w:tc>
          <w:tcPr>
            <w:tcW w:w="1693" w:type="dxa"/>
            <w:tcBorders>
              <w:top w:val="single" w:color="000000" w:sz="6" w:space="0"/>
              <w:left w:val="single" w:color="000000" w:sz="4" w:space="0"/>
              <w:bottom w:val="single" w:color="000000" w:sz="6" w:space="0"/>
              <w:right w:val="single" w:color="000000" w:sz="4" w:space="0"/>
            </w:tcBorders>
            <w:vAlign w:val="center"/>
          </w:tcPr>
          <w:p w14:paraId="7C2359A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1,102.81</w:t>
            </w:r>
          </w:p>
        </w:tc>
        <w:tc>
          <w:tcPr>
            <w:tcW w:w="1987" w:type="dxa"/>
            <w:tcBorders>
              <w:top w:val="single" w:color="000000" w:sz="6" w:space="0"/>
              <w:left w:val="single" w:color="000000" w:sz="4" w:space="0"/>
              <w:bottom w:val="single" w:color="000000" w:sz="6" w:space="0"/>
              <w:right w:val="single" w:color="000000" w:sz="4" w:space="0"/>
            </w:tcBorders>
            <w:vAlign w:val="center"/>
          </w:tcPr>
          <w:p w14:paraId="6EF0EF87">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1,102.81</w:t>
            </w:r>
          </w:p>
        </w:tc>
        <w:tc>
          <w:tcPr>
            <w:tcW w:w="1827" w:type="dxa"/>
            <w:tcBorders>
              <w:top w:val="single" w:color="000000" w:sz="6" w:space="0"/>
              <w:left w:val="single" w:color="000000" w:sz="4" w:space="0"/>
              <w:bottom w:val="single" w:color="000000" w:sz="6" w:space="0"/>
              <w:right w:val="single" w:color="000000" w:sz="4" w:space="0"/>
            </w:tcBorders>
            <w:vAlign w:val="center"/>
          </w:tcPr>
          <w:p w14:paraId="6EDE03D8">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14:paraId="5C6A7171">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14:paraId="5914C3F0">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14:paraId="484721E5">
        <w:tblPrEx>
          <w:tblCellMar>
            <w:top w:w="55" w:type="dxa"/>
            <w:left w:w="55" w:type="dxa"/>
            <w:bottom w:w="55" w:type="dxa"/>
            <w:right w:w="55" w:type="dxa"/>
          </w:tblCellMar>
        </w:tblPrEx>
        <w:trPr>
          <w:trHeight w:val="319" w:hRule="atLeast"/>
        </w:trPr>
        <w:tc>
          <w:tcPr>
            <w:tcW w:w="10954" w:type="dxa"/>
            <w:gridSpan w:val="5"/>
          </w:tcPr>
          <w:p w14:paraId="16647F55">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14:paraId="002F78A7">
        <w:tblPrEx>
          <w:tblCellMar>
            <w:top w:w="55" w:type="dxa"/>
            <w:left w:w="55" w:type="dxa"/>
            <w:bottom w:w="55" w:type="dxa"/>
            <w:right w:w="55" w:type="dxa"/>
          </w:tblCellMar>
        </w:tblPrEx>
        <w:trPr>
          <w:trHeight w:val="189" w:hRule="atLeast"/>
        </w:trPr>
        <w:tc>
          <w:tcPr>
            <w:tcW w:w="10954" w:type="dxa"/>
            <w:gridSpan w:val="5"/>
          </w:tcPr>
          <w:p w14:paraId="2FCCAE70">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14:paraId="7162EBB8">
        <w:tblPrEx>
          <w:tblCellMar>
            <w:top w:w="55" w:type="dxa"/>
            <w:left w:w="55" w:type="dxa"/>
            <w:bottom w:w="55" w:type="dxa"/>
            <w:right w:w="55" w:type="dxa"/>
          </w:tblCellMar>
        </w:tblPrEx>
        <w:trPr>
          <w:trHeight w:val="138" w:hRule="atLeast"/>
        </w:trPr>
        <w:tc>
          <w:tcPr>
            <w:tcW w:w="9281" w:type="dxa"/>
            <w:gridSpan w:val="4"/>
            <w:vAlign w:val="center"/>
          </w:tcPr>
          <w:p w14:paraId="17C5FA13">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连云港市发展和改革委员会（机关）</w:t>
            </w:r>
          </w:p>
        </w:tc>
        <w:tc>
          <w:tcPr>
            <w:tcW w:w="1673" w:type="dxa"/>
            <w:vAlign w:val="center"/>
          </w:tcPr>
          <w:p w14:paraId="2960F62D">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31596070">
        <w:tblPrEx>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14:paraId="45445754">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14:paraId="292CB882">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14:paraId="634ABDFF">
        <w:tblPrEx>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14:paraId="059ADFB9">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14:paraId="35A783EC">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14:paraId="11A39AD5">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14:paraId="7319D78B">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14:paraId="38FEFFB9">
            <w:pPr>
              <w:pStyle w:val="22"/>
              <w:widowControl w:val="0"/>
              <w:jc w:val="center"/>
              <w:rPr>
                <w:rFonts w:hint="eastAsia" w:ascii="仿宋" w:hAnsi="仿宋" w:eastAsia="仿宋" w:cs="仿宋"/>
              </w:rPr>
            </w:pPr>
            <w:r>
              <w:rPr>
                <w:rFonts w:hint="eastAsia" w:ascii="仿宋" w:hAnsi="仿宋" w:eastAsia="仿宋" w:cs="仿宋"/>
              </w:rPr>
              <w:t>公用经费</w:t>
            </w:r>
          </w:p>
        </w:tc>
      </w:tr>
      <w:tr w14:paraId="23A107EC">
        <w:tblPrEx>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14:paraId="39BF1B54">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14:paraId="056B7E8D">
            <w:pPr>
              <w:pStyle w:val="22"/>
              <w:widowControl w:val="0"/>
              <w:jc w:val="right"/>
              <w:rPr>
                <w:rFonts w:hint="eastAsia" w:ascii="仿宋" w:hAnsi="仿宋" w:eastAsia="仿宋" w:cs="仿宋"/>
              </w:rPr>
            </w:pPr>
            <w:r>
              <w:rPr>
                <w:rFonts w:hint="eastAsia" w:ascii="仿宋" w:hAnsi="仿宋" w:eastAsia="仿宋" w:cs="仿宋"/>
              </w:rPr>
              <w:t>3,893.42</w:t>
            </w:r>
          </w:p>
        </w:tc>
        <w:tc>
          <w:tcPr>
            <w:tcW w:w="1974" w:type="dxa"/>
            <w:tcBorders>
              <w:left w:val="single" w:color="000000" w:sz="4" w:space="0"/>
              <w:bottom w:val="single" w:color="000000" w:sz="4" w:space="0"/>
            </w:tcBorders>
            <w:vAlign w:val="center"/>
          </w:tcPr>
          <w:p w14:paraId="386099AD">
            <w:pPr>
              <w:pStyle w:val="22"/>
              <w:widowControl w:val="0"/>
              <w:jc w:val="right"/>
              <w:rPr>
                <w:rFonts w:hint="eastAsia" w:ascii="仿宋" w:hAnsi="仿宋" w:eastAsia="仿宋" w:cs="仿宋"/>
              </w:rPr>
            </w:pPr>
            <w:r>
              <w:rPr>
                <w:rFonts w:hint="eastAsia" w:ascii="仿宋" w:hAnsi="仿宋" w:eastAsia="仿宋" w:cs="仿宋"/>
              </w:rPr>
              <w:t>3,669.67</w:t>
            </w:r>
          </w:p>
        </w:tc>
        <w:tc>
          <w:tcPr>
            <w:tcW w:w="1673" w:type="dxa"/>
            <w:tcBorders>
              <w:left w:val="single" w:color="000000" w:sz="4" w:space="0"/>
              <w:bottom w:val="single" w:color="000000" w:sz="4" w:space="0"/>
              <w:right w:val="single" w:color="000000" w:sz="4" w:space="0"/>
            </w:tcBorders>
            <w:vAlign w:val="center"/>
          </w:tcPr>
          <w:p w14:paraId="01C226C0">
            <w:pPr>
              <w:pStyle w:val="22"/>
              <w:widowControl w:val="0"/>
              <w:jc w:val="right"/>
              <w:rPr>
                <w:rFonts w:hint="eastAsia" w:ascii="仿宋" w:hAnsi="仿宋" w:eastAsia="仿宋" w:cs="仿宋"/>
              </w:rPr>
            </w:pPr>
            <w:r>
              <w:rPr>
                <w:rFonts w:hint="eastAsia" w:ascii="仿宋" w:hAnsi="仿宋" w:eastAsia="仿宋" w:cs="仿宋"/>
              </w:rPr>
              <w:t>223.75</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2,935.30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2,935.30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566.80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566.80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1,094.30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1,094.30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奖金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401.38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401.38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234.78</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234.78</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117.39</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117.39</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210.42</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210.42</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22.47</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22.47</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272.46</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272.46</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15.30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15.30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223.75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223.75</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10.00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印刷费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10.00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邮电费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10.00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差旅费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35.00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35.00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因公出国（境）费用</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15.00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15.00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维修（护）费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10.00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30215</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会议费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10.00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培训费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10.00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10.00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公务接待费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4.80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4.80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29.35</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29.35</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79.60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79.60</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303</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734.37</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734.37</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30301</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离休费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73.23</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73.23</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退休费</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656.50</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656.50</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r w14:paraId="60606591">
        <w:tblPrEx>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14:paraId="46EB6AB2">
            <w:pPr>
              <w:pStyle w:val="22"/>
              <w:widowControl w:val="0"/>
              <w:jc w:val="left"/>
              <w:rPr>
                <w:rFonts w:hint="eastAsia" w:ascii="仿宋" w:hAnsi="仿宋" w:eastAsia="仿宋" w:cs="仿宋"/>
              </w:rPr>
            </w:pPr>
            <w:r>
              <w:rPr>
                <w:rFonts w:hint="eastAsia" w:ascii="仿宋" w:hAnsi="仿宋" w:eastAsia="仿宋" w:cs="仿宋"/>
              </w:rPr>
              <w:t xml:space="preserve">  30305</w:t>
            </w:r>
          </w:p>
        </w:tc>
        <w:tc>
          <w:tcPr>
            <w:tcW w:w="3667" w:type="dxa"/>
            <w:tcBorders>
              <w:top w:val="single" w:color="000000" w:sz="4" w:space="0"/>
              <w:left w:val="single" w:color="000000" w:sz="4" w:space="0"/>
              <w:bottom w:val="single" w:color="000000" w:sz="4" w:space="0"/>
              <w:right w:val="single" w:color="000000" w:sz="4" w:space="0"/>
            </w:tcBorders>
            <w:vAlign w:val="center"/>
          </w:tcPr>
          <w:p w14:paraId="364DCD5E">
            <w:pPr>
              <w:pStyle w:val="22"/>
              <w:widowControl w:val="0"/>
              <w:jc w:val="left"/>
              <w:rPr>
                <w:rFonts w:hint="eastAsia" w:ascii="仿宋" w:hAnsi="仿宋" w:eastAsia="仿宋" w:cs="仿宋"/>
              </w:rPr>
            </w:pPr>
            <w:r>
              <w:rPr>
                <w:rFonts w:hint="eastAsia" w:ascii="仿宋" w:hAnsi="仿宋" w:eastAsia="仿宋" w:cs="仿宋"/>
              </w:rPr>
              <w:t>生活补助</w:t>
            </w:r>
          </w:p>
        </w:tc>
        <w:tc>
          <w:tcPr>
            <w:tcW w:w="2413" w:type="dxa"/>
            <w:tcBorders>
              <w:top w:val="single" w:color="000000" w:sz="4" w:space="0"/>
              <w:left w:val="single" w:color="000000" w:sz="4" w:space="0"/>
              <w:bottom w:val="single" w:color="000000" w:sz="4" w:space="0"/>
              <w:right w:val="single" w:color="000000" w:sz="4" w:space="0"/>
            </w:tcBorders>
            <w:vAlign w:val="center"/>
          </w:tcPr>
          <w:p w14:paraId="0022ECD1">
            <w:pPr>
              <w:pStyle w:val="22"/>
              <w:widowControl w:val="0"/>
              <w:jc w:val="right"/>
              <w:rPr>
                <w:rFonts w:hint="eastAsia" w:ascii="仿宋" w:hAnsi="仿宋" w:eastAsia="仿宋" w:cs="仿宋"/>
              </w:rPr>
            </w:pPr>
            <w:r>
              <w:rPr>
                <w:rFonts w:hint="eastAsia" w:ascii="仿宋" w:hAnsi="仿宋" w:eastAsia="仿宋" w:cs="仿宋"/>
              </w:rPr>
              <w:t>4.64</w:t>
            </w:r>
          </w:p>
        </w:tc>
        <w:tc>
          <w:tcPr>
            <w:tcW w:w="1974" w:type="dxa"/>
            <w:tcBorders>
              <w:top w:val="single" w:color="000000" w:sz="4" w:space="0"/>
              <w:left w:val="single" w:color="000000" w:sz="4" w:space="0"/>
              <w:bottom w:val="single" w:color="000000" w:sz="4" w:space="0"/>
              <w:right w:val="single" w:color="000000" w:sz="4" w:space="0"/>
            </w:tcBorders>
            <w:vAlign w:val="center"/>
          </w:tcPr>
          <w:p w14:paraId="0705D06C">
            <w:pPr>
              <w:pStyle w:val="22"/>
              <w:widowControl w:val="0"/>
              <w:jc w:val="right"/>
              <w:rPr>
                <w:rFonts w:hint="eastAsia" w:ascii="仿宋" w:hAnsi="仿宋" w:eastAsia="仿宋" w:cs="仿宋"/>
              </w:rPr>
            </w:pPr>
            <w:r>
              <w:rPr>
                <w:rFonts w:hint="eastAsia" w:ascii="仿宋" w:hAnsi="仿宋" w:eastAsia="仿宋" w:cs="仿宋"/>
              </w:rPr>
              <w:t>4.64</w:t>
            </w:r>
          </w:p>
        </w:tc>
        <w:tc>
          <w:tcPr>
            <w:tcW w:w="1673" w:type="dxa"/>
            <w:tcBorders>
              <w:top w:val="single" w:color="000000" w:sz="4" w:space="0"/>
              <w:left w:val="single" w:color="000000" w:sz="4" w:space="0"/>
              <w:bottom w:val="single" w:color="000000" w:sz="4" w:space="0"/>
              <w:right w:val="single" w:color="000000" w:sz="4" w:space="0"/>
            </w:tcBorders>
            <w:vAlign w:val="center"/>
          </w:tcPr>
          <w:p w14:paraId="2EEE3087">
            <w:pPr>
              <w:pStyle w:val="22"/>
              <w:widowControl w:val="0"/>
              <w:jc w:val="right"/>
              <w:rPr>
                <w:rFonts w:hint="eastAsia" w:ascii="仿宋" w:hAnsi="仿宋" w:eastAsia="仿宋" w:cs="仿宋"/>
              </w:rPr>
            </w:pPr>
            <w:r>
              <w:rPr>
                <w:rFonts w:hint="eastAsia" w:ascii="仿宋" w:hAnsi="仿宋" w:eastAsia="仿宋" w:cs="仿宋"/>
              </w:rPr>
              <w:t/>
            </w:r>
          </w:p>
        </w:tc>
      </w:tr>
    </w:tbl>
    <w:p w14:paraId="5ADFF928">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5"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14:paraId="38FA862D">
        <w:tblPrEx>
          <w:tblCellMar>
            <w:top w:w="55" w:type="dxa"/>
            <w:left w:w="55" w:type="dxa"/>
            <w:bottom w:w="55" w:type="dxa"/>
            <w:right w:w="55" w:type="dxa"/>
          </w:tblCellMar>
        </w:tblPrEx>
        <w:trPr>
          <w:trHeight w:val="321" w:hRule="atLeast"/>
        </w:trPr>
        <w:tc>
          <w:tcPr>
            <w:tcW w:w="15909" w:type="dxa"/>
            <w:gridSpan w:val="8"/>
          </w:tcPr>
          <w:p w14:paraId="11F1E16B">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14:paraId="73844359">
        <w:tblPrEx>
          <w:tblCellMar>
            <w:top w:w="55" w:type="dxa"/>
            <w:left w:w="55" w:type="dxa"/>
            <w:bottom w:w="55" w:type="dxa"/>
            <w:right w:w="55" w:type="dxa"/>
          </w:tblCellMar>
        </w:tblPrEx>
        <w:trPr>
          <w:trHeight w:val="207" w:hRule="atLeast"/>
        </w:trPr>
        <w:tc>
          <w:tcPr>
            <w:tcW w:w="15909" w:type="dxa"/>
            <w:gridSpan w:val="8"/>
          </w:tcPr>
          <w:p w14:paraId="22B22F3F">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14:paraId="2F8DA7EF">
        <w:tblPrEx>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14:paraId="6A83A7CB">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连云港市发展和改革委员会（机关）</w:t>
            </w:r>
          </w:p>
        </w:tc>
        <w:tc>
          <w:tcPr>
            <w:tcW w:w="3840" w:type="dxa"/>
            <w:gridSpan w:val="2"/>
            <w:tcBorders>
              <w:bottom w:val="single" w:color="auto" w:sz="4" w:space="0"/>
            </w:tcBorders>
            <w:vAlign w:val="center"/>
          </w:tcPr>
          <w:p w14:paraId="362828F0">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14:paraId="1E8B6C91">
        <w:tblPrEx>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14:paraId="7EF73657">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14:paraId="7191D0ED">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14:paraId="237531A7">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14:paraId="7A1094E9">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14:paraId="197F2909">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14:paraId="414C9174">
            <w:pPr>
              <w:pStyle w:val="22"/>
              <w:widowControl w:val="0"/>
              <w:jc w:val="center"/>
              <w:rPr>
                <w:rFonts w:hint="eastAsia" w:ascii="仿宋" w:hAnsi="仿宋" w:eastAsia="仿宋" w:cs="仿宋"/>
                <w:sz w:val="20"/>
              </w:rPr>
            </w:pPr>
            <w:r>
              <w:rPr>
                <w:rFonts w:hint="eastAsia" w:ascii="仿宋" w:hAnsi="仿宋" w:eastAsia="仿宋" w:cs="仿宋"/>
              </w:rPr>
              <w:t>培训费</w:t>
            </w:r>
          </w:p>
        </w:tc>
      </w:tr>
      <w:tr w14:paraId="0D589B7C">
        <w:tblPrEx>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14:paraId="1BFDF809">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14:paraId="6170C8C2">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14:paraId="2DAB6B6B">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14:paraId="6D34F0AB">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14:paraId="6F0F2BAC">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14:paraId="48B4809D">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14:paraId="4097DD05">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14:paraId="4A5FCFD1">
            <w:pPr>
              <w:widowControl w:val="0"/>
              <w:jc w:val="left"/>
              <w:rPr>
                <w:rFonts w:hint="eastAsia" w:ascii="仿宋" w:hAnsi="仿宋" w:eastAsia="仿宋" w:cs="仿宋"/>
                <w:sz w:val="2"/>
                <w:szCs w:val="2"/>
              </w:rPr>
            </w:pPr>
          </w:p>
        </w:tc>
      </w:tr>
      <w:tr w14:paraId="1E0DC4E9">
        <w:tblPrEx>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14:paraId="5FAC3463">
            <w:pPr>
              <w:pStyle w:val="22"/>
              <w:widowControl w:val="0"/>
              <w:jc w:val="right"/>
              <w:rPr>
                <w:rFonts w:hint="eastAsia" w:ascii="仿宋" w:hAnsi="仿宋" w:eastAsia="仿宋" w:cs="仿宋"/>
              </w:rPr>
            </w:pPr>
            <w:r>
              <w:rPr>
                <w:rFonts w:hint="eastAsia" w:ascii="仿宋" w:hAnsi="仿宋" w:eastAsia="仿宋" w:cs="仿宋"/>
              </w:rPr>
              <w:t>46.80</w:t>
            </w:r>
          </w:p>
        </w:tc>
        <w:tc>
          <w:tcPr>
            <w:tcW w:w="2332" w:type="dxa"/>
            <w:tcBorders>
              <w:top w:val="single" w:color="auto" w:sz="4" w:space="0"/>
              <w:left w:val="single" w:color="auto" w:sz="4" w:space="0"/>
              <w:bottom w:val="single" w:color="auto" w:sz="4" w:space="0"/>
              <w:right w:val="single" w:color="auto" w:sz="4" w:space="0"/>
            </w:tcBorders>
            <w:vAlign w:val="center"/>
          </w:tcPr>
          <w:p w14:paraId="70149B39">
            <w:pPr>
              <w:pStyle w:val="22"/>
              <w:widowControl w:val="0"/>
              <w:jc w:val="right"/>
              <w:rPr>
                <w:rFonts w:hint="eastAsia" w:ascii="仿宋" w:hAnsi="仿宋" w:eastAsia="仿宋" w:cs="仿宋"/>
              </w:rPr>
            </w:pPr>
            <w:r>
              <w:rPr>
                <w:rFonts w:hint="eastAsia" w:ascii="仿宋" w:hAnsi="仿宋" w:eastAsia="仿宋" w:cs="仿宋"/>
              </w:rPr>
              <w:t>15.00</w:t>
            </w:r>
          </w:p>
        </w:tc>
        <w:tc>
          <w:tcPr>
            <w:tcW w:w="2037" w:type="dxa"/>
            <w:tcBorders>
              <w:top w:val="single" w:color="auto" w:sz="4" w:space="0"/>
              <w:left w:val="single" w:color="auto" w:sz="4" w:space="0"/>
              <w:bottom w:val="single" w:color="auto" w:sz="4" w:space="0"/>
              <w:right w:val="single" w:color="auto" w:sz="4" w:space="0"/>
            </w:tcBorders>
            <w:vAlign w:val="center"/>
          </w:tcPr>
          <w:p w14:paraId="49C502E0">
            <w:pPr>
              <w:pStyle w:val="22"/>
              <w:widowControl w:val="0"/>
              <w:jc w:val="right"/>
              <w:rPr>
                <w:rFonts w:hint="eastAsia" w:ascii="仿宋" w:hAnsi="仿宋" w:eastAsia="仿宋" w:cs="仿宋"/>
              </w:rPr>
            </w:pPr>
            <w:r>
              <w:rPr>
                <w:rFonts w:hint="eastAsia" w:ascii="仿宋" w:hAnsi="仿宋" w:eastAsia="仿宋" w:cs="仿宋"/>
              </w:rPr>
              <w:t>0.00</w:t>
            </w:r>
          </w:p>
        </w:tc>
        <w:tc>
          <w:tcPr>
            <w:tcW w:w="1697" w:type="dxa"/>
            <w:tcBorders>
              <w:top w:val="single" w:color="auto" w:sz="4" w:space="0"/>
              <w:left w:val="single" w:color="auto" w:sz="4" w:space="0"/>
              <w:bottom w:val="single" w:color="auto" w:sz="4" w:space="0"/>
              <w:right w:val="single" w:color="auto" w:sz="4" w:space="0"/>
            </w:tcBorders>
            <w:vAlign w:val="center"/>
          </w:tcPr>
          <w:p w14:paraId="10F36C48">
            <w:pPr>
              <w:pStyle w:val="22"/>
              <w:widowControl w:val="0"/>
              <w:jc w:val="right"/>
              <w:rPr>
                <w:rFonts w:hint="eastAsia" w:ascii="仿宋" w:hAnsi="仿宋" w:eastAsia="仿宋" w:cs="仿宋"/>
              </w:rPr>
            </w:pPr>
            <w:r>
              <w:rPr>
                <w:rFonts w:hint="eastAsia" w:ascii="仿宋" w:hAnsi="仿宋" w:eastAsia="仿宋" w:cs="仿宋"/>
              </w:rPr>
              <w:t>0.00</w:t>
            </w:r>
          </w:p>
        </w:tc>
        <w:tc>
          <w:tcPr>
            <w:tcW w:w="1680" w:type="dxa"/>
            <w:tcBorders>
              <w:top w:val="single" w:color="auto" w:sz="4" w:space="0"/>
              <w:left w:val="single" w:color="auto" w:sz="4" w:space="0"/>
              <w:bottom w:val="single" w:color="auto" w:sz="4" w:space="0"/>
              <w:right w:val="single" w:color="auto" w:sz="4" w:space="0"/>
            </w:tcBorders>
            <w:vAlign w:val="center"/>
          </w:tcPr>
          <w:p w14:paraId="021B69C0">
            <w:pPr>
              <w:pStyle w:val="22"/>
              <w:widowControl w:val="0"/>
              <w:jc w:val="right"/>
              <w:rPr>
                <w:rFonts w:hint="eastAsia" w:ascii="仿宋" w:hAnsi="仿宋" w:eastAsia="仿宋" w:cs="仿宋"/>
              </w:rPr>
            </w:pPr>
            <w:r>
              <w:rPr>
                <w:rFonts w:hint="eastAsia" w:ascii="仿宋" w:hAnsi="仿宋" w:eastAsia="仿宋" w:cs="仿宋"/>
              </w:rPr>
              <w:t>0.00</w:t>
            </w:r>
          </w:p>
        </w:tc>
        <w:tc>
          <w:tcPr>
            <w:tcW w:w="1852" w:type="dxa"/>
            <w:tcBorders>
              <w:top w:val="single" w:color="auto" w:sz="4" w:space="0"/>
              <w:left w:val="single" w:color="auto" w:sz="4" w:space="0"/>
              <w:bottom w:val="single" w:color="auto" w:sz="4" w:space="0"/>
              <w:right w:val="single" w:color="auto" w:sz="4" w:space="0"/>
            </w:tcBorders>
            <w:vAlign w:val="center"/>
          </w:tcPr>
          <w:p w14:paraId="2A253F9B">
            <w:pPr>
              <w:pStyle w:val="22"/>
              <w:widowControl w:val="0"/>
              <w:jc w:val="right"/>
              <w:rPr>
                <w:rFonts w:hint="eastAsia" w:ascii="仿宋" w:hAnsi="仿宋" w:eastAsia="仿宋" w:cs="仿宋"/>
              </w:rPr>
            </w:pPr>
            <w:r>
              <w:rPr>
                <w:rFonts w:hint="eastAsia" w:ascii="仿宋" w:hAnsi="仿宋" w:eastAsia="仿宋" w:cs="仿宋"/>
              </w:rPr>
              <w:t>31.80</w:t>
            </w:r>
          </w:p>
        </w:tc>
        <w:tc>
          <w:tcPr>
            <w:tcW w:w="2057" w:type="dxa"/>
            <w:tcBorders>
              <w:top w:val="single" w:color="auto" w:sz="4" w:space="0"/>
              <w:left w:val="single" w:color="auto" w:sz="4" w:space="0"/>
              <w:bottom w:val="single" w:color="auto" w:sz="4" w:space="0"/>
              <w:right w:val="single" w:color="auto" w:sz="4" w:space="0"/>
            </w:tcBorders>
            <w:vAlign w:val="center"/>
          </w:tcPr>
          <w:p w14:paraId="209A7A6A">
            <w:pPr>
              <w:pStyle w:val="22"/>
              <w:widowControl w:val="0"/>
              <w:jc w:val="right"/>
              <w:rPr>
                <w:rFonts w:hint="eastAsia" w:ascii="仿宋" w:hAnsi="仿宋" w:eastAsia="仿宋" w:cs="仿宋"/>
              </w:rPr>
            </w:pPr>
            <w:r>
              <w:rPr>
                <w:rFonts w:hint="eastAsia" w:ascii="仿宋" w:hAnsi="仿宋" w:eastAsia="仿宋" w:cs="仿宋"/>
              </w:rPr>
              <w:t>20.00</w:t>
            </w:r>
          </w:p>
        </w:tc>
        <w:tc>
          <w:tcPr>
            <w:tcW w:w="1783" w:type="dxa"/>
            <w:tcBorders>
              <w:top w:val="single" w:color="auto" w:sz="4" w:space="0"/>
              <w:left w:val="single" w:color="auto" w:sz="4" w:space="0"/>
              <w:bottom w:val="single" w:color="auto" w:sz="4" w:space="0"/>
              <w:right w:val="single" w:color="auto" w:sz="4" w:space="0"/>
            </w:tcBorders>
            <w:vAlign w:val="center"/>
          </w:tcPr>
          <w:p w14:paraId="0455D567">
            <w:pPr>
              <w:pStyle w:val="22"/>
              <w:widowControl w:val="0"/>
              <w:jc w:val="right"/>
              <w:rPr>
                <w:rFonts w:hint="eastAsia" w:ascii="仿宋" w:hAnsi="仿宋" w:eastAsia="仿宋" w:cs="仿宋"/>
              </w:rPr>
            </w:pPr>
            <w:r>
              <w:rPr>
                <w:rFonts w:hint="eastAsia" w:ascii="仿宋" w:hAnsi="仿宋" w:eastAsia="仿宋" w:cs="仿宋"/>
              </w:rPr>
              <w:t>25.00</w:t>
            </w:r>
          </w:p>
        </w:tc>
      </w:tr>
    </w:tbl>
    <w:p w14:paraId="633D90CA">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6"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14:paraId="62805DB4">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5636E86">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14:paraId="6EED4EA3">
        <w:tblPrEx>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14:paraId="1C7C957B">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14:paraId="51688803">
        <w:tblPrEx>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14:paraId="7A598C4F">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连云港市发展和改革委员会（机关）</w:t>
            </w:r>
          </w:p>
        </w:tc>
        <w:tc>
          <w:tcPr>
            <w:tcW w:w="2485" w:type="dxa"/>
            <w:tcBorders>
              <w:top w:val="nil"/>
              <w:left w:val="nil"/>
              <w:bottom w:val="single" w:color="auto" w:sz="4" w:space="0"/>
              <w:right w:val="nil"/>
            </w:tcBorders>
            <w:vAlign w:val="center"/>
          </w:tcPr>
          <w:p w14:paraId="3147BBD4">
            <w:pPr>
              <w:pStyle w:val="22"/>
              <w:widowControl w:val="0"/>
              <w:jc w:val="right"/>
              <w:rPr>
                <w:rFonts w:hint="eastAsia" w:ascii="仿宋" w:hAnsi="仿宋" w:eastAsia="仿宋" w:cs="仿宋"/>
              </w:rPr>
            </w:pPr>
            <w:r>
              <w:rPr>
                <w:rFonts w:hint="eastAsia" w:ascii="仿宋" w:hAnsi="仿宋" w:eastAsia="仿宋" w:cs="仿宋"/>
              </w:rPr>
              <w:t>单位：万元</w:t>
            </w:r>
          </w:p>
        </w:tc>
      </w:tr>
      <w:tr w14:paraId="36644733">
        <w:trPr>
          <w:trHeight w:val="187" w:hRule="atLeast"/>
        </w:trPr>
        <w:tc>
          <w:tcPr>
            <w:tcW w:w="1618" w:type="dxa"/>
            <w:vMerge w:val="restart"/>
            <w:tcBorders>
              <w:top w:val="single" w:color="auto" w:sz="4" w:space="0"/>
              <w:left w:val="single" w:color="auto" w:sz="4" w:space="0"/>
              <w:right w:val="single" w:color="auto" w:sz="4" w:space="0"/>
            </w:tcBorders>
            <w:vAlign w:val="center"/>
          </w:tcPr>
          <w:p w14:paraId="139A3874">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14:paraId="699CEF7D">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14:paraId="696DDF51">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14:paraId="2A031337">
        <w:tblPrEx>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14:paraId="0291B8E1">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14:paraId="40D2FDA2">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14:paraId="7625D4FC">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14:paraId="509FCBF0">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14:paraId="7EAB88D3">
            <w:pPr>
              <w:pStyle w:val="22"/>
              <w:widowControl w:val="0"/>
              <w:jc w:val="center"/>
              <w:rPr>
                <w:rFonts w:hint="eastAsia" w:ascii="仿宋" w:hAnsi="仿宋" w:eastAsia="仿宋" w:cs="仿宋"/>
              </w:rPr>
            </w:pPr>
            <w:r>
              <w:rPr>
                <w:rFonts w:hint="eastAsia" w:ascii="仿宋" w:hAnsi="仿宋" w:eastAsia="仿宋" w:cs="仿宋"/>
              </w:rPr>
              <w:t>项目支出</w:t>
            </w:r>
          </w:p>
        </w:tc>
      </w:tr>
      <w:tr w14:paraId="5A7DB80A">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14:paraId="14C9CFFF">
            <w:pPr>
              <w:pStyle w:val="22"/>
              <w:widowControl w:val="0"/>
              <w:jc w:val="center"/>
              <w:rPr>
                <w:rFonts w:hint="eastAsia" w:ascii="仿宋" w:hAnsi="仿宋" w:eastAsia="仿宋" w:cs="仿宋"/>
              </w:rPr>
            </w:pPr>
            <w:r>
              <w:rPr>
                <w:rFonts w:hint="eastAsia" w:ascii="仿宋" w:hAnsi="仿宋" w:eastAsia="仿宋" w:cs="仿宋"/>
              </w:rPr>
              <w:t/>
            </w:r>
          </w:p>
        </w:tc>
        <w:tc>
          <w:tcPr>
            <w:tcW w:w="2834" w:type="dxa"/>
            <w:tcBorders>
              <w:top w:val="single" w:color="auto" w:sz="4" w:space="0"/>
              <w:left w:val="single" w:color="auto" w:sz="4" w:space="0"/>
              <w:bottom w:val="single" w:color="auto" w:sz="4" w:space="0"/>
              <w:right w:val="single" w:color="auto" w:sz="4" w:space="0"/>
            </w:tcBorders>
            <w:vAlign w:val="center"/>
          </w:tcPr>
          <w:p w14:paraId="215C3078">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14:paraId="430CBA39">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E533D5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755F292C">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736E2B16">
        <w:tblPrEx>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14:paraId="22584B85">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14:paraId="5B20A601">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14:paraId="7EB45BA1">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14:paraId="24188B76">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14:paraId="6EED0780">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6E6DB1B1">
      <w:pPr>
        <w:numPr>
          <w:ilvl w:val="0"/>
          <w:numId w:val="0"/>
        </w:numPr>
        <w:spacing w:before="25" w:after="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
      </w:r>
      <w:r>
        <w:rPr>
          <w:rFonts w:hint="eastAsia" w:ascii="仿宋" w:hAnsi="仿宋" w:eastAsia="仿宋" w:cs="仿宋"/>
          <w:b/>
          <w:bCs/>
          <w:sz w:val="22"/>
          <w:szCs w:val="22"/>
        </w:rPr>
        <w:t>注：</w:t>
      </w:r>
      <w:r>
        <w:rPr>
          <w:rFonts w:hint="eastAsia" w:ascii="仿宋" w:hAnsi="仿宋" w:eastAsia="仿宋" w:cs="仿宋"/>
          <w:b/>
          <w:bCs/>
          <w:sz w:val="22"/>
          <w:szCs w:val="22"/>
          <w:lang w:val="en-US" w:eastAsia="zh-CN"/>
          <w:u/>
        </w:rPr>
        <w:t>本</w:t>
      </w:r>
      <w:r>
        <w:rPr>
          <w:b w:val="on"/>
          <w:rFonts w:ascii="仿宋" w:eastAsia="仿宋" w:hAnsi="仿宋" w:cs="仿宋"/>
          <w:sz w:val="22"/>
          <w:u w:color="auto"/>
        </w:rPr>
        <w:t>单位</w:t>
      </w:r>
      <w:r>
        <w:rPr>
          <w:b w:val="on"/>
          <w:rFonts w:ascii="仿宋" w:eastAsia="仿宋" w:hAnsi="仿宋" w:cs="仿宋"/>
          <w:sz w:val="22"/>
          <w:u w:color="auto"/>
        </w:rPr>
        <w:t>无政府性基金预算，也没有使用政府性基金安排的支出，故本表无数据。</w:t>
      </w:r>
      <w:r>
        <w:rPr>
          <w:b w:val="on"/>
          <w:rFonts w:ascii="仿宋" w:eastAsia="仿宋" w:hAnsi="仿宋" w:cs="仿宋"/>
          <w:sz w:val="22"/>
          <w:u w:color="auto"/>
        </w:rPr>
        <w:t/>
      </w:r>
    </w:p>
    <w:p w14:paraId="6A70A19F">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7"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Layout w:type="fixed"/>
        <w:tblCellMar>
          <w:top w:w="0" w:type="dxa"/>
          <w:left w:w="108" w:type="dxa"/>
          <w:bottom w:w="0" w:type="dxa"/>
          <w:right w:w="108" w:type="dxa"/>
        </w:tblCellMar>
      </w:tblPr>
      <w:tblGrid>
        <w:gridCol w:w="1596"/>
        <w:gridCol w:w="3803"/>
        <w:gridCol w:w="3111"/>
        <w:gridCol w:w="3094"/>
        <w:gridCol w:w="3091"/>
      </w:tblGrid>
      <w:tr w14:paraId="4774AA8D">
        <w:tblPrEx>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14:paraId="3156F4BF">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14:paraId="4EF98964">
        <w:tblPrEx>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14:paraId="0D2A9578">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14:paraId="1AADF766">
        <w:tblPrEx>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14:paraId="062AC01C">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连云港市发展和改革委员会（机关）</w:t>
            </w:r>
          </w:p>
        </w:tc>
        <w:tc>
          <w:tcPr>
            <w:tcW w:w="3091" w:type="dxa"/>
            <w:tcBorders>
              <w:top w:val="nil"/>
              <w:left w:val="nil"/>
              <w:bottom w:val="nil"/>
              <w:right w:val="nil"/>
            </w:tcBorders>
            <w:shd w:val="clear" w:color="auto" w:fill="auto"/>
            <w:noWrap/>
            <w:vAlign w:val="center"/>
          </w:tcPr>
          <w:p w14:paraId="4B5E2371">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14:paraId="2404FBD4">
        <w:tblPrEx>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A26E2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671D8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BADFD">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C96E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14:paraId="432E2794">
        <w:tblPrEx>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14:paraId="4441FA9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14:paraId="610A31B2">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14:paraId="0C0CD14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14:paraId="6658BEEA">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14:paraId="503CA6E1">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14:paraId="00D98D52">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14:paraId="1138F447">
        <w:tblPrEx>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2B31F">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34F07641">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9518AF4">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2C53BBAB">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14:paraId="23E635B9">
        <w:tblPrEx>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080F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811437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53DCC2D3">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54D26D6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14:paraId="199C4C76">
        <w:tblPrEx>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14:paraId="25698B19">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14:paraId="0A0BDF5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14:paraId="57643D8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14:paraId="3AB61406">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14:paraId="7636582C">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14:paraId="7AA8870D">
      <w:pPr>
        <w:numPr>
          <w:ilvl w:val="0"/>
          <w:numId w:val="0"/>
        </w:numPr>
        <w:spacing w:before="25" w:after="0"/>
        <w:ind w:firstLine="442" w:firstLineChars="20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u/>
        </w:rPr>
        <w:t/>
      </w:r>
      <w:r>
        <w:rPr>
          <w:b w:val="on"/>
          <w:rFonts w:ascii="仿宋" w:eastAsia="仿宋" w:hAnsi="仿宋" w:cs="仿宋"/>
          <w:sz w:val="22"/>
          <w:u w:color="auto"/>
        </w:rPr>
        <w:t>注：本</w:t>
      </w:r>
      <w:r>
        <w:rPr>
          <w:b w:val="on"/>
          <w:rFonts w:ascii="仿宋" w:eastAsia="仿宋" w:hAnsi="仿宋" w:cs="仿宋"/>
          <w:sz w:val="22"/>
          <w:u w:color="auto"/>
        </w:rPr>
        <w:t>单位</w:t>
      </w:r>
      <w:r>
        <w:rPr>
          <w:b w:val="on"/>
          <w:rFonts w:ascii="仿宋" w:eastAsia="仿宋" w:hAnsi="仿宋" w:cs="仿宋"/>
          <w:sz w:val="22"/>
          <w:u w:color="auto"/>
        </w:rPr>
        <w:t>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u/>
        </w:rPr>
        <w:t>，故本表无数据。</w:t>
      </w:r>
      <w:r>
        <w:rPr>
          <w:b w:val="on"/>
          <w:rFonts w:ascii="仿宋" w:eastAsia="仿宋" w:hAnsi="仿宋" w:cs="仿宋"/>
          <w:sz w:val="22"/>
          <w:u w:color="auto"/>
        </w:rPr>
        <w:t/>
      </w:r>
    </w:p>
    <w:p w14:paraId="4F525B1A">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14:paraId="081ECABF">
        <w:tblPrEx>
          <w:tblCellMar>
            <w:top w:w="55" w:type="dxa"/>
            <w:left w:w="55" w:type="dxa"/>
            <w:bottom w:w="55" w:type="dxa"/>
            <w:right w:w="55" w:type="dxa"/>
          </w:tblCellMar>
        </w:tblPrEx>
        <w:trPr>
          <w:trHeight w:val="319" w:hRule="atLeast"/>
        </w:trPr>
        <w:tc>
          <w:tcPr>
            <w:tcW w:w="10235" w:type="dxa"/>
            <w:gridSpan w:val="4"/>
          </w:tcPr>
          <w:p w14:paraId="3FDF9E28">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14:paraId="291E3CF1">
        <w:tblPrEx>
          <w:tblCellMar>
            <w:top w:w="55" w:type="dxa"/>
            <w:left w:w="55" w:type="dxa"/>
            <w:bottom w:w="55" w:type="dxa"/>
            <w:right w:w="55" w:type="dxa"/>
          </w:tblCellMar>
        </w:tblPrEx>
        <w:trPr>
          <w:trHeight w:val="90" w:hRule="atLeast"/>
        </w:trPr>
        <w:tc>
          <w:tcPr>
            <w:tcW w:w="10235" w:type="dxa"/>
            <w:gridSpan w:val="4"/>
          </w:tcPr>
          <w:p w14:paraId="231D1385">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14:paraId="04B652B4">
        <w:tblPrEx>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14:paraId="35496929">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连云港市发展和改革委员会（机关）</w:t>
            </w:r>
          </w:p>
        </w:tc>
        <w:tc>
          <w:tcPr>
            <w:tcW w:w="2351" w:type="dxa"/>
            <w:tcBorders>
              <w:bottom w:val="single" w:color="auto" w:sz="4" w:space="0"/>
            </w:tcBorders>
            <w:vAlign w:val="center"/>
          </w:tcPr>
          <w:p w14:paraId="14A254D4">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14:paraId="11FC7058">
        <w:tblPrEx>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14:paraId="0F6FED56">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14:paraId="0F83CC29">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14:paraId="6EFE394A">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14:paraId="68F893FF">
        <w:tblPrEx>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14:paraId="06E7A0CE">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rPr>
              <w:t/>
            </w: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2DF58F83">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223.75</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302</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商品和服务支出</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223.75</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30201</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办公费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30202</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印刷费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30207</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邮电费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30211</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差旅费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35.00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30212</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因公出国（境）费用</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30213</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维修（护）费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30215</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会议费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30216</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培训费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10.00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30217</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公务接待费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4.80</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30228</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工会经费</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29.35</w:t>
            </w:r>
          </w:p>
        </w:tc>
      </w:tr>
      <w:tr w14:paraId="4AEE5119">
        <w:tblPrEx>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14:paraId="22D89DA4">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30299</w:t>
            </w:r>
          </w:p>
        </w:tc>
        <w:tc>
          <w:tcPr>
            <w:tcW w:w="2876" w:type="dxa"/>
            <w:tcBorders>
              <w:top w:val="single" w:color="000000" w:sz="4" w:space="0"/>
              <w:left w:val="single" w:color="000000" w:sz="4" w:space="0"/>
              <w:bottom w:val="single" w:color="auto" w:sz="4" w:space="0"/>
              <w:right w:val="single" w:color="000000" w:sz="4" w:space="0"/>
            </w:tcBorders>
          </w:tcPr>
          <w:p w14:paraId="19469693">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其他商品和服务支出</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14:paraId="7BBBD09F">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79.60</w:t>
            </w:r>
          </w:p>
        </w:tc>
      </w:tr>
    </w:tbl>
    <w:p w14:paraId="28F6C040">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19881AC">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8"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14:paraId="17AE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25ABA2C5">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14:paraId="7610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14:paraId="7C23C5B6">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14:paraId="2D4D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14:paraId="2DB53ADF">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连云港市发展和改革委员会（机关）</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14:paraId="535DB9A2">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14:paraId="13948C0E">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14:paraId="10946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D4FC7E2">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AF93C99">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019AB60">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863A4CB">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822C97">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F9C219A">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71AEF8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14:paraId="6D92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C91EE03">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A12B648">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92F3862">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B5BF50">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2E3A18FB">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64F1135">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DBF9C2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976F5A3">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A0F303E">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F2CFD1">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14:paraId="0AAAF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BCFE2A4">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sz w:val="22"/>
                <w:szCs w:val="22"/>
              </w:rPr>
              <w:t/>
            </w: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E522CA">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585776D">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0659CECE">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F86FA57">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0DC751C">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B0F214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D2F43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4545084">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561AB642">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货物</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连云港市发展和改革委员会（机关）</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131.00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131.00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办公设备购置经费2026</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A4黑白打印机</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办公设备购置经费2026</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办公设备购置</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纸及纸板</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4.50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4.50</w:t>
            </w:r>
          </w:p>
        </w:tc>
      </w:tr>
      <w:tr w14:paraId="5085D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40F4E60">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BB609C0">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市级应急救灾物资储备专项资金2026</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5C674CC">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其他商品和服务支出</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336306F4">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其他床上装具</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D3BD637">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集中采购机构采购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6F33CA0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125.00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75D539A7">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6D1A62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10091EF8">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14:paraId="4B1C3341">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125.00</w:t>
            </w:r>
          </w:p>
        </w:tc>
      </w:tr>
    </w:tbl>
    <w:p w14:paraId="51FF3C07">
      <w:pPr>
        <w:bidi w:val="0"/>
        <w:rPr>
          <w:rFonts w:hint="eastAsia" w:ascii="仿宋" w:hAnsi="仿宋" w:eastAsia="仿宋" w:cs="仿宋"/>
          <w:b/>
          <w:bCs/>
          <w:sz w:val="22"/>
          <w:szCs w:val="22"/>
        </w:rPr>
        <w:sectPr>
          <w:footerReference r:id="rId19"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14:paraId="3ED135E2">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u/>
        </w:rPr>
        <w:t>年度</w:t>
      </w:r>
      <w:r>
        <w:rPr>
          <w:b w:val="on"/>
          <w:rFonts w:ascii="仿宋" w:eastAsia="仿宋" w:hAnsi="仿宋" w:cs="仿宋"/>
          <w:sz w:val="44"/>
          <w:u w:color="auto"/>
        </w:rPr>
        <w:t>单位</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14:paraId="1540B497">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连云港市发展和改革委员会（机关）2026年度收入、支出预算总计5,311.42万元，与上年相比收、支预算总计各减少226.09万元，减少4.08%。其中：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（一）收入预算总计5,311.42万元。包括：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1．本年收入合计5,311.42万元。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（1）一般公共预算拨款收入5,311.42万元，与上年相比减少226.09万元，减少4.08%。主要原因是优化财政支出结构，压减一般性项目投入；同时本年度单位人员变动，单位预算收入减少。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（2）政府性基金预算拨款收入0万元，与上年预算数相同。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（3）国有资本经营预算拨款收入0万元，与上年预算数相同。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（4）财政专户管理资金收入0万元，与上年预算数相同。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（5）事业收入0万元，与上年预算数相同。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（6）事业单位经营收入0万元，与上年预算数相同。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（7）上级补助收入0万元，与上年预算数相同。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（8）附属单位上缴收入0万元，与上年预算数相同。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（9）其他收入0万元，与上年预算数相同。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2．上年结转结余为0万元。与上年预算数相同。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（二）支出预算总计5,311.42万元。包括：</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1．本年支出合计5,311.42万元。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（1）一般公共服务支出（类）支出3,936.15万元，主要用于单位项目支出及单位人员和日常运转相关支出。与上年相比减少5.52万元，减少0.14%。主要原因是优化财政支出结构，压减一般性项目投入。</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（2）住房保障支出（类）支出1,375.27万元，主要用于住房公积金和提租补贴。与上年相比减少220.57万元，减少13.82%。主要原因是单位在编在职人员变动，预算根据实际需求同时减少。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2．年终结转结余为0万元。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二、收入预算情况说明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连云港市发展和改革委员会（机关）2026年收入预算合计5,311.42万元，包括本年收入5,311.42万元，上年结转结余0万元。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本年一般公共预算收入5,311.42万元，占100%；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本年事业单位经营收入0万元，占0%；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本年上级补助收入0万元，占0%；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本年附属单位上缴收入0万元，占0%；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本年其他收入0万元，占0%；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上年结转结余的一般公共预算收入0万元，占0%；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上年结转结余的政府性基金预算收入0万元，占0%；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上年结转结余的国有资本经营预算收入0万元，占0%；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上年结转结余的财政专户管理资金0万元，占0%；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上年结转结余的单位资金0万元，占0%。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三、支出预算情况说明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连云港市发展和改革委员会（机关）2026年支出预算合计5,311.42万元，其中：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基本支出3,893.42万元，占73.3%；</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项目支出1,418万元，占26.7%；</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事业单位经营支出0万元，占0%；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上缴上级支出0万元，占0%；</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对附属单位补助支出0万元，占0%。</w:t>
      </w:r>
      <w:r>
        <w:rPr>
          <w:rFonts w:ascii="仿宋" w:eastAsia="仿宋" w:hAnsi="仿宋" w:cs="仿宋"/>
          <w:u w:color="auto"/>
        </w:rPr>
        <w:t/>
      </w:r>
    </w:p>
    <w:p w14:paraId="5E7D86B6">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5"/>
                    <a:stretch>
                      <a:fillRect/>
                    </a:stretch>
                  </pic:blipFill>
                  <pic:spPr>
                    <a:xfrm>
                      <a:off x="0" y="0"/>
                      <a:ext cx="6134100" cy="3429000"/>
                    </a:xfrm>
                    <a:prstGeom prst="rect">
                      <a:avLst/>
                    </a:prstGeom>
                  </pic:spPr>
                </pic:pic>
              </a:graphicData>
            </a:graphic>
          </wp:inline>
        </w:drawing>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四、财政拨款收支预算总体情况说明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机关）2026年度财政拨款收、支总预算5,311.42万元。与上年相比，财政拨款收、支总计各减少226.09万元，减少4.08%。主要原因是优化财政支出结构，压减一般性项目投入；同时本年度单位人员变动，单位预算同时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五、财政拨款支出预算情况说明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机关）2026年财政拨款预算支出5,311.42万元，占本年支出合计的100%。与上年相比，财政拨款支出减少226.09万元，减少4.08%。主要原因是优化财政支出结构，压减一般性项目投入；同时本年度单位人员变动，单位预算同时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（一）一般公共服务支出（类）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1.发展与改革事务（款）行政运行（项）支出2,518.15万元，与上年相比增加23.48万元，增长0.94%。主要原因是根据单位实际运行需求单位本年基本支出行政运行科目额度增长。</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2.发展与改革事务（款）一般行政管理事务（项）支出1,418万元，与上年相比减少29万元，减少2%。主要原因是优化财政支出结构，压减一般性项目投入。</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（二）住房保障支出（类）</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1.住房改革支出（款）住房公积金（项）支出272.46万元，与上年相比减少248.3万元，减少47.68%。主要原因是单位在编在职人员变动，预算根据实际需求同时减少。</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2.住房改革支出（款）提租补贴（项）支出1,102.81万元，与上年相比增加27.73万元，增长2.58%。主要原因是本年度单位退休人员增加，提租补贴同时增长。</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六、财政拨款基本支出预算情况说明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连云港市发展和改革委员会（机关）2026年度财政拨款基本支出预算3,893.42万元，其中：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3,669.67万元。主要包括：基本工资、津贴补贴、奖金、机关事业单位基本养老保险缴费、职业年金缴费、职工基本医疗保险缴费、其他社会保障缴费、住房公积金、其他工资福利支出、离休费、退休费、生活补助。</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（二）公用经费223.75万元。主要包括：办公费、印刷费、邮电费、差旅费、因公出国（境）费用、维修（护）费、会议费、培训费、公务接待费、工会经费、其他商品和服务支出。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七、一般公共预算支出预算情况说明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连云港市发展和改革委员会（机关）2026年一般公共预算财政拨款支出预算5,311.42万元，与上年相比减少226.09万元，减少4.08%。主要原因是优化财政支出结构，压减一般性项目投入。</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八、一般公共预算基本支出预算情况说明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连云港市发展和改革委员会（机关）2026年度一般公共预算财政拨款基本支出预算3,893.42万元，其中：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3,669.67万元。主要包括：基本工资、津贴补贴、奖金、机关事业单位基本养老保险缴费、职业年金缴费、职工基本医疗保险缴费、其他社会保障缴费、住房公积金、其他工资福利支出、离休费、退休费、生活补助。</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（二）公用经费223.75万元。主要包括：办公费、印刷费、邮电费、差旅费、因公出国（境）费用、维修（护）费、会议费、培训费、公务接待费、工会经费、其他商品和服务支出。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九、一般公共预算“三公”经费、会议费、培训费支出预算情况说明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机关）2026年度一般公共预算拨款安排的“三公”经费支出预算46.8万元，比上年预算减少5万元，变动原因本年度单位因公出国（境）费预算支出减少。其中，因公出国（境）费支出15万元，占“三公”经费的32.05%；公务用车购置及运行维护费支出0万元，占“三公”经费的0%；公务接待费支出31.8万元，占“三公”经费的67.95%。具体情况如下：</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1．因公出国（境）费预算支出15万元，比上年预算减少5万元，主要原因是严格落实中央八项规定精神，厉行节约，从严从紧控制经费支出。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2．公务用车购置及运行维护费预算支出0万元。其中：</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（1）公务用车购置预算支出0万元，与上年预算数相同。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（2）公务用车运行维护费预算支出0万元，与上年预算数相同。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3．公务接待费预算支出31.8万元，与上年预算数相同。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连云港市发展和改革委员会（机关）2026年度一般公共预算拨款安排的会议费预算支出20万元，与上年预算数相同。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连云港市发展和改革委员会（机关）2026年度一般公共预算拨款安排的培训费预算支出25万元，与上年预算数相同。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十、政府性基金预算支出预算情况说明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连云港市发展和改革委员会（机关）2026年政府性基金支出预算支出0万元。与上年预算数相同。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十一、国有资本经营预算支出预算情况说明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连云港市发展和改革委员会（机关）2026年国有资本经营预算支出0万元。与上年预算数相同。</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十二、一般公共预算机关运行经费支出预算情况说明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2026年本单位一般公共预算机关运行经费预算支出223.75万元，与上年相比减少41.87万元，减少15.76%。主要原因是严格落实中央八项规定精神，厉行节约，从严从紧控制经费支出。</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十三、政府采购支出预算情况说明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2026年度政府采购支出预算总额131万元，其中：拟采购货物支出131万元、拟采购工程支出0万元、拟采购服务支出0万元。</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十四、国有资产占用情况说明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单位共有车辆0辆，其中，副部（省）级及以上领导用车0辆、主要负责人用车0辆、机要通信用车0辆、应急保障用车0辆、执法执勤用车0辆、特种专业技术用车0辆、离退休干部用车0辆，其他用车0辆；单价100万元（含）以上的设备0台（套）。</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十五、预算绩效目标设置情况说明</w:t>
      </w:r>
      <w:r>
        <w:rPr>
          <w:rFonts w:ascii="仿宋" w:eastAsia="仿宋" w:hAnsi="仿宋" w:cs="仿宋"/>
          <w:u w:color="auto"/>
        </w:rPr>
        <w:t/>
      </w:r>
    </w:p>
    <w:p w14:paraId="6D34BEFA">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本单位整体支出纳入绩效目标管理，涉及财政性资金5,311.42万元；本单位共9个项目纳入绩效目标管理，涉及财政性资金合计1,418万元，占财政性资金(人员类和运转类中的公用经费项目支出除外)总额的比例为100%。</w:t>
      </w:r>
      <w:r>
        <w:rPr>
          <w:rFonts w:ascii="仿宋" w:eastAsia="仿宋" w:hAnsi="仿宋" w:cs="仿宋"/>
          <w:u w:color="auto"/>
        </w:rPr>
        <w:t/>
      </w:r>
    </w:p>
    <w:p w14:paraId="60A71CD5">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14:paraId="63293F33">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一、财政拨款</w:t>
      </w:r>
      <w:r>
        <w:rPr>
          <w:b w:val="on"/>
          <w:rFonts w:ascii="仿宋" w:eastAsia="仿宋" w:hAnsi="仿宋" w:cs="仿宋"/>
          <w:u w:color="auto"/>
        </w:rPr>
        <w:t>：</w:t>
      </w:r>
      <w:r>
        <w:rPr>
          <w:rFonts w:hint="eastAsia" w:ascii="仿宋" w:hAnsi="仿宋" w:eastAsia="仿宋" w:cs="仿宋"/>
        </w:rPr>
        <w:t>单位从同级财政部门取得的各类财政拨款，包括一般公共预算拨款、政府性基金预算拨款、国有资本经营预算拨款。</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二、财政专户管理资金</w:t>
      </w:r>
      <w:r>
        <w:rPr>
          <w:b w:val="on"/>
          <w:rFonts w:ascii="仿宋" w:eastAsia="仿宋" w:hAnsi="仿宋" w:cs="仿宋"/>
          <w:u w:color="auto"/>
        </w:rPr>
        <w:t>：</w:t>
      </w:r>
      <w:r>
        <w:rPr>
          <w:rFonts w:hint="eastAsia" w:ascii="仿宋" w:hAnsi="仿宋" w:eastAsia="仿宋" w:cs="仿宋"/>
        </w:rPr>
        <w:t>缴入财政专户、实行专项管理的高中以上学费、住宿费、高校委托培养费、函大、电大、夜大及短训班培训费等教育收费。</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三、单位资金</w:t>
      </w:r>
      <w:r>
        <w:rPr>
          <w:b w:val="on"/>
          <w:rFonts w:ascii="仿宋" w:eastAsia="仿宋" w:hAnsi="仿宋" w:cs="仿宋"/>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四、基本支出</w:t>
      </w:r>
      <w:r>
        <w:rPr>
          <w:b w:val="on"/>
          <w:rFonts w:ascii="仿宋" w:eastAsia="仿宋" w:hAnsi="仿宋" w:cs="仿宋"/>
          <w:u w:color="auto"/>
        </w:rPr>
        <w:t>：</w:t>
      </w:r>
      <w:r>
        <w:rPr>
          <w:rFonts w:hint="eastAsia" w:ascii="仿宋" w:hAnsi="仿宋" w:eastAsia="仿宋" w:cs="仿宋"/>
        </w:rPr>
        <w:t>指为保障机构正常运转、完成工作任务而发生的人员支出和公用支出。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五、项目支出</w:t>
      </w:r>
      <w:r>
        <w:rPr>
          <w:b w:val="on"/>
          <w:rFonts w:ascii="仿宋" w:eastAsia="仿宋" w:hAnsi="仿宋" w:cs="仿宋"/>
          <w:u w:color="auto"/>
        </w:rPr>
        <w:t>：</w:t>
      </w:r>
      <w:r>
        <w:rPr>
          <w:rFonts w:hint="eastAsia" w:ascii="仿宋" w:hAnsi="仿宋" w:eastAsia="仿宋" w:cs="仿宋"/>
        </w:rPr>
        <w:t>指在基本支出之外为完成特定工作任务和事业发展目标所发生的支出。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六、“三公”经费</w:t>
      </w:r>
      <w:r>
        <w:rPr>
          <w:b w:val="on"/>
          <w:rFonts w:ascii="仿宋" w:eastAsia="仿宋" w:hAnsi="仿宋" w:cs="仿宋"/>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七、机关运行经费</w:t>
      </w:r>
      <w:r>
        <w:rPr>
          <w:b w:val="on"/>
          <w:rFonts w:ascii="仿宋" w:eastAsia="仿宋" w:hAnsi="仿宋" w:cs="仿宋"/>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八、一般公共服务支出(类)发展与改革事务(款)行政运行(项)</w:t>
      </w:r>
      <w:r>
        <w:rPr>
          <w:b w:val="on"/>
          <w:rFonts w:ascii="仿宋" w:eastAsia="仿宋" w:hAnsi="仿宋" w:cs="仿宋"/>
          <w:u w:color="auto"/>
        </w:rPr>
        <w:t>：</w:t>
      </w:r>
      <w:r>
        <w:rPr>
          <w:rFonts w:hint="eastAsia" w:ascii="仿宋" w:hAnsi="仿宋" w:eastAsia="仿宋" w:cs="仿宋"/>
        </w:rPr>
        <w:t>反映行政单位（包括实行公务员管理的事业单位）的基本支出。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九、一般公共服务支出(类)发展与改革事务(款)一般行政管理事务(项)</w:t>
      </w:r>
      <w:r>
        <w:rPr>
          <w:b w:val="on"/>
          <w:rFonts w:ascii="仿宋" w:eastAsia="仿宋" w:hAnsi="仿宋" w:cs="仿宋"/>
          <w:u w:color="auto"/>
        </w:rPr>
        <w:t>：</w:t>
      </w:r>
      <w:r>
        <w:rPr>
          <w:rFonts w:hint="eastAsia" w:ascii="仿宋" w:hAnsi="仿宋" w:eastAsia="仿宋" w:cs="仿宋"/>
        </w:rPr>
        <w:t>反映行政单位（包括实行公务员管理的事业单位）未单独设置项级科目的其他项目支出。</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十、住房保障支出(类)住房改革支出(款)住房公积金(项)</w:t>
      </w:r>
      <w:r>
        <w:rPr>
          <w:b w:val="on"/>
          <w:rFonts w:ascii="仿宋" w:eastAsia="仿宋" w:hAnsi="仿宋" w:cs="仿宋"/>
          <w:u w:color="auto"/>
        </w:rPr>
        <w:t>：</w:t>
      </w:r>
      <w:r>
        <w:rPr>
          <w:rFonts w:hint="eastAsia" w:ascii="仿宋" w:hAnsi="仿宋" w:eastAsia="仿宋" w:cs="仿宋"/>
        </w:rPr>
        <w:t>反映行政事业单位按人力资源和社会保障部、财政部规定的基本工资和津贴补贴以及规定比例为职工缴纳的住房公积金。</w:t>
      </w:r>
    </w:p>
    <w:p w14:paraId="00D7B87C">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十一、住房保障支出(类)住房改革支出(款)提租补贴(项)</w:t>
      </w:r>
      <w:r>
        <w:rPr>
          <w:b w:val="on"/>
          <w:rFonts w:ascii="仿宋" w:eastAsia="仿宋" w:hAnsi="仿宋" w:cs="仿宋"/>
          <w:u w:color="auto"/>
        </w:rPr>
        <w:t>：</w:t>
      </w:r>
      <w:r>
        <w:rPr>
          <w:rFonts w:hint="eastAsia" w:ascii="仿宋" w:hAnsi="仿宋" w:eastAsia="仿宋" w:cs="仿宋"/>
        </w:rPr>
        <w:t>反映按房改政策规定的标准，行政事业单位向职工（含离退休人员）发放的租金补贴。</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9D44A">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7B329B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24A0">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14E81E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1B55A">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108D36C8">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881FA">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1E3E9A2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3E973">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5279EB44">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F68D">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14:paraId="7BD642A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00F64">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14:paraId="405305FE">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55044">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0674D884">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DB4F1">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43F9E01C">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06B37">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4973739">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B7DF2">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387FC5B">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2DD7">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1EE1AB0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43712">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7C57DBC5">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54045">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1B453216">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838EE">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11550493">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D1B7F">
    <w:pPr>
      <w:pStyle w:val="10"/>
      <w:pBdr>
        <w:bottom w:val="single" w:color="000000" w:sz="4" w:space="1"/>
      </w:pBdr>
      <w:jc w:val="both"/>
      <w:rPr>
        <w:rFonts w:hint="default" w:eastAsia="Arial Unicode MS"/>
        <w:lang w:val="en-US" w:eastAsia="zh-CN"/>
      </w:rPr>
    </w:pPr>
    <w:r>
      <w:rPr>
        <w:rFonts w:hint="eastAsia"/>
        <w:lang w:val="en-US" w:eastAsia="zh-CN"/>
        <w:u/>
      </w:rPr>
      <w:t>连云港市发展和改革委员会（机关）</w:t>
    </w:r>
    <w:r>
      <w:rPr>
        <w:u w:color="auto"/>
      </w:rPr>
      <w:t>2026</w:t>
    </w:r>
    <w:r>
      <w:rPr>
        <w:u w:color="auto"/>
      </w:rPr>
      <w:t>年度</w:t>
    </w:r>
    <w:r>
      <w:rPr>
        <w:u w:color="auto"/>
      </w:rPr>
      <w:t>单位</w:t>
    </w:r>
    <w:r>
      <w:rPr>
        <w:u w:color="auto"/>
      </w:rPr>
      <w:t>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1B3BA">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5.xml" Type="http://schemas.openxmlformats.org/officeDocument/2006/relationships/footer"/><Relationship Id="rId11" Target="footer6.xml" Type="http://schemas.openxmlformats.org/officeDocument/2006/relationships/footer"/><Relationship Id="rId12" Target="footer7.xml" Type="http://schemas.openxmlformats.org/officeDocument/2006/relationships/footer"/><Relationship Id="rId13" Target="footer8.xml" Type="http://schemas.openxmlformats.org/officeDocument/2006/relationships/footer"/><Relationship Id="rId14" Target="footer9.xml" Type="http://schemas.openxmlformats.org/officeDocument/2006/relationships/footer"/><Relationship Id="rId15" Target="footer10.xml" Type="http://schemas.openxmlformats.org/officeDocument/2006/relationships/footer"/><Relationship Id="rId16" Target="footer11.xml" Type="http://schemas.openxmlformats.org/officeDocument/2006/relationships/footer"/><Relationship Id="rId17" Target="footer12.xml" Type="http://schemas.openxmlformats.org/officeDocument/2006/relationships/footer"/><Relationship Id="rId18" Target="footer13.xml" Type="http://schemas.openxmlformats.org/officeDocument/2006/relationships/footer"/><Relationship Id="rId19" Target="footer14.xml" Type="http://schemas.openxmlformats.org/officeDocument/2006/relationships/footer"/><Relationship Id="rId2" Target="settings.xml" Type="http://schemas.openxmlformats.org/officeDocument/2006/relationships/settings"/><Relationship Id="rId20" Target="footer15.xml" Type="http://schemas.openxmlformats.org/officeDocument/2006/relationships/footer"/><Relationship Id="rId21" Target="theme/theme1.xml" Type="http://schemas.openxmlformats.org/officeDocument/2006/relationships/theme"/><Relationship Id="rId22" Target="../customXml/item1.xml" Type="http://schemas.openxmlformats.org/officeDocument/2006/relationships/customXml"/><Relationship Id="rId23" Target="fontTable.xml" Type="http://schemas.openxmlformats.org/officeDocument/2006/relationships/fontTable"/><Relationship Id="rId24" Target="media/image1.jpeg" Type="http://schemas.openxmlformats.org/officeDocument/2006/relationships/image"/><Relationship Id="rId25" Target="media/image2.jpeg" Type="http://schemas.openxmlformats.org/officeDocument/2006/relationships/image"/><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footer4.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0</TotalTime>
  <ScaleCrop>false</ScaleCrop>
  <LinksUpToDate>false</LinksUpToDate>
  <CharactersWithSpaces>6554</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细雨</cp:lastModifiedBy>
  <dcterms:modified xsi:type="dcterms:W3CDTF">2025-05-21T07:38:56Z</dcterms:modified>
  <cp:revision>175</cp:revision>
  <dc:title>部门预算公开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2052-12.1.0.21171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